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67762D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Программы государственных внутренних заимствований Смоленской области на 2023 год и Программы государственных внутренних заимствований Смоленской области на плановый период 2024 </w:t>
      </w:r>
      <w:bookmarkStart w:id="0" w:name="_GoBack"/>
      <w:bookmarkEnd w:id="0"/>
      <w:r>
        <w:rPr>
          <w:bCs/>
          <w:sz w:val="28"/>
          <w:szCs w:val="28"/>
        </w:rPr>
        <w:t>и 2025 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8 Федерального закона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</w:p>
    <w:p w:rsidR="0075020E" w:rsidRDefault="0075020E" w:rsidP="00750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>Правительство Смоленской области  п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75020E" w:rsidRDefault="00066B2C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20E">
        <w:rPr>
          <w:sz w:val="28"/>
          <w:szCs w:val="28"/>
        </w:rPr>
        <w:t>Утвердить прилагаемые: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2023 год;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плановый период 2024 и 2025 годов.</w:t>
      </w:r>
    </w:p>
    <w:p w:rsidR="00066B2C" w:rsidRDefault="00066B2C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Смоленской области от 06.09.2023 № 526 «О внесении изменений в </w:t>
      </w:r>
      <w:r w:rsidRPr="00066B2C">
        <w:rPr>
          <w:sz w:val="28"/>
          <w:szCs w:val="28"/>
        </w:rPr>
        <w:t>Программу государственных внутренних заимствований Смоленской области на 2023 год</w:t>
      </w:r>
      <w:r>
        <w:rPr>
          <w:sz w:val="28"/>
          <w:szCs w:val="28"/>
        </w:rPr>
        <w:t>».</w:t>
      </w:r>
    </w:p>
    <w:p w:rsidR="0075020E" w:rsidRDefault="0075020E" w:rsidP="0075020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75020E" w:rsidRDefault="0075020E" w:rsidP="0075020E">
      <w:pPr>
        <w:jc w:val="both"/>
        <w:rPr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1" w:name="Par684"/>
      <w:bookmarkEnd w:id="1"/>
      <w:r>
        <w:rPr>
          <w:sz w:val="28"/>
          <w:szCs w:val="28"/>
        </w:rPr>
        <w:t>Губернатор</w:t>
      </w:r>
    </w:p>
    <w:p w:rsidR="0075020E" w:rsidRDefault="0075020E" w:rsidP="00750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AD7B5F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020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D7B5F">
        <w:rPr>
          <w:sz w:val="28"/>
          <w:szCs w:val="28"/>
        </w:rPr>
        <w:t>08.11.2023 № 66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E14A56" w:rsidRDefault="00E14A56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5020E" w:rsidRDefault="0075020E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75020E" w:rsidRDefault="0075020E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2023 год</w:t>
      </w:r>
    </w:p>
    <w:p w:rsidR="0075020E" w:rsidRDefault="0075020E" w:rsidP="0075020E">
      <w:pPr>
        <w:jc w:val="center"/>
        <w:rPr>
          <w:b/>
          <w:sz w:val="24"/>
          <w:szCs w:val="24"/>
        </w:rPr>
      </w:pPr>
    </w:p>
    <w:p w:rsidR="0075020E" w:rsidRDefault="0075020E" w:rsidP="0075020E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2410"/>
        <w:gridCol w:w="1701"/>
        <w:gridCol w:w="2415"/>
      </w:tblGrid>
      <w:tr w:rsidR="0075020E" w:rsidTr="006A3F6F">
        <w:trPr>
          <w:tblHeader/>
        </w:trPr>
        <w:tc>
          <w:tcPr>
            <w:tcW w:w="675" w:type="dxa"/>
            <w:hideMark/>
          </w:tcPr>
          <w:p w:rsidR="0075020E" w:rsidRDefault="0075020E" w:rsidP="00E14A5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hideMark/>
          </w:tcPr>
          <w:p w:rsidR="0075020E" w:rsidRDefault="0075020E" w:rsidP="00E14A56">
            <w:pPr>
              <w:spacing w:line="25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10" w:type="dxa"/>
            <w:hideMark/>
          </w:tcPr>
          <w:p w:rsidR="0075020E" w:rsidRDefault="0075020E" w:rsidP="00E14A5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привлечения</w:t>
            </w:r>
          </w:p>
          <w:p w:rsidR="0075020E" w:rsidRDefault="0075020E" w:rsidP="00E14A5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 году</w:t>
            </w:r>
          </w:p>
        </w:tc>
        <w:tc>
          <w:tcPr>
            <w:tcW w:w="1701" w:type="dxa"/>
            <w:hideMark/>
          </w:tcPr>
          <w:p w:rsidR="0075020E" w:rsidRDefault="0075020E" w:rsidP="00E14A56">
            <w:pPr>
              <w:spacing w:line="256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415" w:type="dxa"/>
            <w:hideMark/>
          </w:tcPr>
          <w:p w:rsidR="0075020E" w:rsidRDefault="0075020E" w:rsidP="00E14A5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погашения</w:t>
            </w:r>
          </w:p>
          <w:p w:rsidR="0075020E" w:rsidRDefault="0075020E" w:rsidP="00E14A5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 году</w:t>
            </w:r>
          </w:p>
        </w:tc>
      </w:tr>
    </w:tbl>
    <w:p w:rsidR="0075020E" w:rsidRDefault="0075020E" w:rsidP="0075020E">
      <w:pPr>
        <w:ind w:left="-567" w:right="-1"/>
        <w:jc w:val="right"/>
        <w:rPr>
          <w:sz w:val="2"/>
          <w:szCs w:val="2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126"/>
        <w:gridCol w:w="2410"/>
        <w:gridCol w:w="1701"/>
        <w:gridCol w:w="2420"/>
      </w:tblGrid>
      <w:tr w:rsidR="0075020E" w:rsidTr="006A3F6F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6 538 027 700,00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3 359 505 320,00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для частичного покрытия дефицита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791 354 390,00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268 827 700,00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E14A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E14A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2038</w:t>
            </w:r>
          </w:p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</w:t>
            </w:r>
            <w:r>
              <w:rPr>
                <w:sz w:val="28"/>
                <w:szCs w:val="28"/>
              </w:rPr>
              <w:lastRenderedPageBreak/>
              <w:t>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2 866 849 070,00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казначейские кредиты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969 200 000,00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6A3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A3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2038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135 000 000,00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2 433 150 930,00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2 433 150 930,00</w:t>
            </w:r>
          </w:p>
        </w:tc>
      </w:tr>
      <w:tr w:rsidR="0075020E" w:rsidTr="006A3F6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областным бюджетом от кредитных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12 856 354 390,00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6A3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A3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11 930 000 000,00</w:t>
            </w:r>
          </w:p>
        </w:tc>
      </w:tr>
      <w:tr w:rsidR="006A3F6F" w:rsidTr="006A3F6F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F" w:rsidRDefault="006A3F6F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F6F" w:rsidRDefault="006A3F6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19 394 382 090,00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F6F" w:rsidRDefault="006A3F6F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F6F" w:rsidRDefault="006A3F6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15 289 505 320,00</w:t>
            </w:r>
          </w:p>
        </w:tc>
      </w:tr>
    </w:tbl>
    <w:p w:rsidR="0075020E" w:rsidRDefault="0075020E" w:rsidP="007502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AD7B5F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020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D7B5F">
        <w:rPr>
          <w:sz w:val="28"/>
          <w:szCs w:val="28"/>
        </w:rPr>
        <w:t>08.11.2023 № 66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6A3F6F" w:rsidRDefault="006A3F6F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5020E" w:rsidRDefault="0075020E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6A3F6F" w:rsidRDefault="0075020E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5020E" w:rsidRDefault="0075020E" w:rsidP="0075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2024 и 2025 годов</w:t>
      </w:r>
    </w:p>
    <w:p w:rsidR="0075020E" w:rsidRDefault="0075020E" w:rsidP="0075020E">
      <w:pPr>
        <w:jc w:val="center"/>
        <w:rPr>
          <w:b/>
          <w:sz w:val="24"/>
          <w:szCs w:val="24"/>
        </w:rPr>
      </w:pPr>
    </w:p>
    <w:p w:rsidR="0075020E" w:rsidRDefault="0075020E" w:rsidP="0075020E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00"/>
        <w:gridCol w:w="1700"/>
        <w:gridCol w:w="850"/>
        <w:gridCol w:w="1700"/>
        <w:gridCol w:w="1700"/>
        <w:gridCol w:w="851"/>
        <w:gridCol w:w="1558"/>
      </w:tblGrid>
      <w:tr w:rsidR="0075020E" w:rsidTr="00B63F14">
        <w:trPr>
          <w:tblHeader/>
        </w:trPr>
        <w:tc>
          <w:tcPr>
            <w:tcW w:w="393" w:type="dxa"/>
            <w:vMerge w:val="restart"/>
            <w:hideMark/>
          </w:tcPr>
          <w:p w:rsidR="0075020E" w:rsidRDefault="0075020E" w:rsidP="006A3F6F">
            <w:pPr>
              <w:spacing w:line="256" w:lineRule="auto"/>
              <w:ind w:left="-142" w:right="-108"/>
              <w:jc w:val="center"/>
            </w:pPr>
            <w:r>
              <w:t>№ п/п</w:t>
            </w:r>
          </w:p>
        </w:tc>
        <w:tc>
          <w:tcPr>
            <w:tcW w:w="1700" w:type="dxa"/>
            <w:vMerge w:val="restart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Вид долгового обязательства</w:t>
            </w:r>
          </w:p>
        </w:tc>
        <w:tc>
          <w:tcPr>
            <w:tcW w:w="1700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Объем привлечения</w:t>
            </w:r>
          </w:p>
        </w:tc>
        <w:tc>
          <w:tcPr>
            <w:tcW w:w="850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Преде-льные сроки пога-шения</w:t>
            </w:r>
          </w:p>
        </w:tc>
        <w:tc>
          <w:tcPr>
            <w:tcW w:w="1700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Объем погашения</w:t>
            </w:r>
          </w:p>
        </w:tc>
        <w:tc>
          <w:tcPr>
            <w:tcW w:w="1700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Объем привлечения</w:t>
            </w:r>
          </w:p>
        </w:tc>
        <w:tc>
          <w:tcPr>
            <w:tcW w:w="851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Преде-льные сроки пога-шения</w:t>
            </w:r>
          </w:p>
        </w:tc>
        <w:tc>
          <w:tcPr>
            <w:tcW w:w="1558" w:type="dxa"/>
            <w:hideMark/>
          </w:tcPr>
          <w:p w:rsidR="0075020E" w:rsidRDefault="0075020E" w:rsidP="006A3F6F">
            <w:pPr>
              <w:spacing w:line="256" w:lineRule="auto"/>
              <w:jc w:val="center"/>
            </w:pPr>
            <w:r>
              <w:t>Объем погашения</w:t>
            </w:r>
          </w:p>
        </w:tc>
      </w:tr>
      <w:tr w:rsidR="0075020E" w:rsidTr="00B63F14">
        <w:trPr>
          <w:tblHeader/>
        </w:trPr>
        <w:tc>
          <w:tcPr>
            <w:tcW w:w="393" w:type="dxa"/>
            <w:vMerge/>
            <w:vAlign w:val="center"/>
            <w:hideMark/>
          </w:tcPr>
          <w:p w:rsidR="0075020E" w:rsidRDefault="0075020E"/>
        </w:tc>
        <w:tc>
          <w:tcPr>
            <w:tcW w:w="1700" w:type="dxa"/>
            <w:vMerge/>
            <w:vAlign w:val="center"/>
            <w:hideMark/>
          </w:tcPr>
          <w:p w:rsidR="0075020E" w:rsidRDefault="0075020E"/>
        </w:tc>
        <w:tc>
          <w:tcPr>
            <w:tcW w:w="4250" w:type="dxa"/>
            <w:gridSpan w:val="3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4 год</w:t>
            </w:r>
          </w:p>
        </w:tc>
        <w:tc>
          <w:tcPr>
            <w:tcW w:w="4109" w:type="dxa"/>
            <w:gridSpan w:val="3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5 год</w:t>
            </w:r>
          </w:p>
        </w:tc>
      </w:tr>
    </w:tbl>
    <w:p w:rsidR="0075020E" w:rsidRDefault="0075020E" w:rsidP="0075020E">
      <w:pPr>
        <w:ind w:left="-567" w:right="-1"/>
        <w:jc w:val="right"/>
        <w:rPr>
          <w:sz w:val="2"/>
          <w:szCs w:val="2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699"/>
        <w:gridCol w:w="850"/>
        <w:gridCol w:w="1700"/>
        <w:gridCol w:w="1700"/>
        <w:gridCol w:w="851"/>
        <w:gridCol w:w="1559"/>
      </w:tblGrid>
      <w:tr w:rsidR="0075020E" w:rsidTr="00F51AC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ind w:right="-108" w:hanging="142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8</w:t>
            </w:r>
          </w:p>
        </w:tc>
      </w:tr>
      <w:tr w:rsidR="0075020E" w:rsidTr="00F51A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5 799 000 000,00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9 101 777 745,71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5 200 003 000,00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7"/>
              <w:jc w:val="center"/>
            </w:pPr>
            <w:r>
              <w:t>9 027 658 620,40</w:t>
            </w:r>
          </w:p>
        </w:tc>
      </w:tr>
      <w:tr w:rsidR="0075020E" w:rsidTr="00F51A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 для частичного покрытия дефицита областного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791 354 390,00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7"/>
              <w:jc w:val="center"/>
            </w:pPr>
            <w:r>
              <w:t>1 841 765 217,20</w:t>
            </w:r>
          </w:p>
        </w:tc>
      </w:tr>
      <w:tr w:rsidR="0075020E" w:rsidTr="00F51A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</w:t>
            </w:r>
            <w:r w:rsidR="00B63F14">
              <w:t xml:space="preserve"> на строительство, реконструкцию</w:t>
            </w:r>
            <w:r>
              <w:t>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215 028 517,47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 xml:space="preserve">Бюджетные кредиты в целях </w:t>
            </w:r>
            <w:r>
              <w:lastRenderedPageBreak/>
              <w:t>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2 866 849 070,00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Специальные казначейские кредиты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69 228 571,43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 на финансовое обеспечение реализации инфраструктур-ных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499 000 000,00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 – 2039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8 574 285,71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300 003 000,00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 – 2039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27 776 264,30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135 000 000,00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432 000 000,00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 xml:space="preserve">Бюджетные </w:t>
            </w:r>
            <w:r>
              <w:lastRenderedPageBreak/>
              <w:t>кредиты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721 171 000,00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820 689 050,00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1.9.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5 300 000 000,00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5 300 000 000,00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4 900 000 000,00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7"/>
              <w:jc w:val="center"/>
              <w:rPr>
                <w:highlight w:val="yellow"/>
              </w:rPr>
            </w:pPr>
            <w:r>
              <w:t>4 900 000 000,00</w:t>
            </w:r>
          </w:p>
        </w:tc>
      </w:tr>
      <w:tr w:rsidR="0075020E" w:rsidTr="00B63F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42"/>
              <w:jc w:val="right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</w:pPr>
            <w:r>
              <w:t>Кредиты, привлеченные областным бюджетом от кредитных организаций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65"/>
              <w:jc w:val="center"/>
              <w:rPr>
                <w:color w:val="000000"/>
              </w:rPr>
            </w:pPr>
            <w:r>
              <w:rPr>
                <w:color w:val="000000"/>
              </w:rPr>
              <w:t>13 791 283 065,71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left="-10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2024 - 2025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06"/>
              <w:jc w:val="center"/>
              <w:rPr>
                <w:color w:val="000000"/>
              </w:rPr>
            </w:pPr>
            <w:r>
              <w:rPr>
                <w:color w:val="000000"/>
              </w:rPr>
              <w:t>12 856 354 390,00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8" w:hanging="105"/>
              <w:jc w:val="center"/>
              <w:rPr>
                <w:color w:val="000000"/>
              </w:rPr>
            </w:pPr>
            <w:r>
              <w:rPr>
                <w:color w:val="000000"/>
              </w:rPr>
              <w:t>15 184 454 207,65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left="-104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2025 - 2026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0E" w:rsidRDefault="0075020E">
            <w:pPr>
              <w:spacing w:line="256" w:lineRule="auto"/>
              <w:ind w:right="-107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12 991 283 065,71</w:t>
            </w:r>
          </w:p>
        </w:tc>
      </w:tr>
      <w:tr w:rsidR="00B63F14" w:rsidTr="00F21067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4" w:rsidRDefault="00B63F1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F14" w:rsidRDefault="00B63F14">
            <w:pPr>
              <w:spacing w:line="256" w:lineRule="auto"/>
              <w:ind w:right="-108" w:hanging="24"/>
              <w:jc w:val="center"/>
              <w:rPr>
                <w:b/>
              </w:rPr>
            </w:pPr>
            <w:r>
              <w:rPr>
                <w:b/>
              </w:rPr>
              <w:t>19 590 283 065,71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F14" w:rsidRDefault="00B63F14">
            <w:pPr>
              <w:spacing w:line="256" w:lineRule="auto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F14" w:rsidRDefault="00B63F14">
            <w:pPr>
              <w:spacing w:line="256" w:lineRule="auto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21 958 132 135,71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F14" w:rsidRDefault="00B63F14">
            <w:pPr>
              <w:spacing w:line="256" w:lineRule="auto"/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20 384 457 207,65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F14" w:rsidRDefault="00B63F14">
            <w:pPr>
              <w:spacing w:line="25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F14" w:rsidRDefault="00B63F14">
            <w:pPr>
              <w:spacing w:line="256" w:lineRule="auto"/>
              <w:ind w:right="-107" w:hanging="108"/>
              <w:jc w:val="center"/>
              <w:rPr>
                <w:b/>
              </w:rPr>
            </w:pPr>
            <w:r>
              <w:rPr>
                <w:b/>
              </w:rPr>
              <w:t>22 018 941 686,11</w:t>
            </w:r>
          </w:p>
        </w:tc>
      </w:tr>
    </w:tbl>
    <w:p w:rsidR="0075020E" w:rsidRDefault="0075020E" w:rsidP="0075020E">
      <w:pPr>
        <w:rPr>
          <w:sz w:val="24"/>
          <w:szCs w:val="24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3159C8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AC" w:rsidRDefault="00E212AC">
      <w:r>
        <w:separator/>
      </w:r>
    </w:p>
  </w:endnote>
  <w:endnote w:type="continuationSeparator" w:id="0">
    <w:p w:rsidR="00E212AC" w:rsidRDefault="00E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AC" w:rsidRDefault="00E212AC">
      <w:r>
        <w:separator/>
      </w:r>
    </w:p>
  </w:footnote>
  <w:footnote w:type="continuationSeparator" w:id="0">
    <w:p w:rsidR="00E212AC" w:rsidRDefault="00E2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2D">
          <w:rPr>
            <w:noProof/>
          </w:rPr>
          <w:t>4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2F4994"/>
    <w:rsid w:val="00301C7B"/>
    <w:rsid w:val="003159C8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B63CB"/>
    <w:rsid w:val="004D24DA"/>
    <w:rsid w:val="0067695B"/>
    <w:rsid w:val="0067762D"/>
    <w:rsid w:val="00696689"/>
    <w:rsid w:val="006A3F6F"/>
    <w:rsid w:val="006C4B6C"/>
    <w:rsid w:val="006E1806"/>
    <w:rsid w:val="006E181B"/>
    <w:rsid w:val="00721E82"/>
    <w:rsid w:val="007363F9"/>
    <w:rsid w:val="0075020E"/>
    <w:rsid w:val="00775CAD"/>
    <w:rsid w:val="00797EF1"/>
    <w:rsid w:val="007D1958"/>
    <w:rsid w:val="007D6480"/>
    <w:rsid w:val="007D6DA2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AD7B5F"/>
    <w:rsid w:val="00B0185F"/>
    <w:rsid w:val="00B63EB7"/>
    <w:rsid w:val="00B63F14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14A56"/>
    <w:rsid w:val="00E212AC"/>
    <w:rsid w:val="00E45A99"/>
    <w:rsid w:val="00E853CA"/>
    <w:rsid w:val="00E863FB"/>
    <w:rsid w:val="00E8770B"/>
    <w:rsid w:val="00EA2FD3"/>
    <w:rsid w:val="00F344CA"/>
    <w:rsid w:val="00F51AC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D05E7-81B8-4F39-BA3D-DE12D9DF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4</cp:revision>
  <cp:lastPrinted>2023-10-17T10:45:00Z</cp:lastPrinted>
  <dcterms:created xsi:type="dcterms:W3CDTF">2023-12-08T06:25:00Z</dcterms:created>
  <dcterms:modified xsi:type="dcterms:W3CDTF">2023-12-12T07:11:00Z</dcterms:modified>
</cp:coreProperties>
</file>