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B1" w:rsidRDefault="00033E6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33E6F" w:rsidRDefault="00457AB1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33E6F">
        <w:rPr>
          <w:rFonts w:ascii="Times New Roman" w:hAnsi="Times New Roman" w:cs="Times New Roman"/>
          <w:b/>
          <w:sz w:val="28"/>
          <w:szCs w:val="28"/>
        </w:rPr>
        <w:t>конкурсной комиссии по проведени</w:t>
      </w:r>
      <w:r w:rsidR="00D05521">
        <w:rPr>
          <w:rFonts w:ascii="Times New Roman" w:hAnsi="Times New Roman" w:cs="Times New Roman"/>
          <w:b/>
          <w:sz w:val="28"/>
          <w:szCs w:val="28"/>
        </w:rPr>
        <w:t>ю</w:t>
      </w:r>
      <w:r w:rsidR="00033E6F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</w:t>
      </w:r>
    </w:p>
    <w:p w:rsidR="00457AB1" w:rsidRDefault="00033E6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муниципальных образований Смоленской области</w:t>
      </w:r>
    </w:p>
    <w:p w:rsidR="00033E6F" w:rsidRDefault="0062589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лучшую брошюру «Б</w:t>
      </w:r>
      <w:r w:rsidR="00033E6F">
        <w:rPr>
          <w:rFonts w:ascii="Times New Roman" w:hAnsi="Times New Roman" w:cs="Times New Roman"/>
          <w:b/>
          <w:sz w:val="28"/>
          <w:szCs w:val="28"/>
        </w:rPr>
        <w:t>юджет для граждан»</w:t>
      </w:r>
    </w:p>
    <w:p w:rsidR="00033E6F" w:rsidRDefault="00033E6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B1" w:rsidRPr="00C9035B" w:rsidRDefault="00377E6F" w:rsidP="00DB005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</w:rPr>
        <w:t>2</w:t>
      </w:r>
      <w:r w:rsidR="0076766D">
        <w:rPr>
          <w:rFonts w:ascii="Times New Roman" w:hAnsi="Times New Roman" w:cs="Times New Roman"/>
          <w:sz w:val="28"/>
          <w:szCs w:val="28"/>
        </w:rPr>
        <w:t>8</w:t>
      </w:r>
      <w:r w:rsidR="00DB005C" w:rsidRPr="0076766D">
        <w:rPr>
          <w:rFonts w:ascii="Times New Roman" w:hAnsi="Times New Roman" w:cs="Times New Roman"/>
          <w:sz w:val="28"/>
          <w:szCs w:val="28"/>
        </w:rPr>
        <w:t>.</w:t>
      </w:r>
      <w:r w:rsidR="00033E6F" w:rsidRPr="0076766D">
        <w:rPr>
          <w:rFonts w:ascii="Times New Roman" w:hAnsi="Times New Roman" w:cs="Times New Roman"/>
          <w:sz w:val="28"/>
          <w:szCs w:val="28"/>
        </w:rPr>
        <w:t>12</w:t>
      </w:r>
      <w:r w:rsidR="00DB005C" w:rsidRPr="0076766D">
        <w:rPr>
          <w:rFonts w:ascii="Times New Roman" w:hAnsi="Times New Roman" w:cs="Times New Roman"/>
          <w:sz w:val="28"/>
          <w:szCs w:val="28"/>
        </w:rPr>
        <w:t>.20</w:t>
      </w:r>
      <w:r w:rsidR="00AF2C35" w:rsidRPr="0076766D">
        <w:rPr>
          <w:rFonts w:ascii="Times New Roman" w:hAnsi="Times New Roman" w:cs="Times New Roman"/>
          <w:sz w:val="28"/>
          <w:szCs w:val="28"/>
        </w:rPr>
        <w:t>2</w:t>
      </w:r>
      <w:r w:rsidR="00CC3784" w:rsidRPr="0076766D">
        <w:rPr>
          <w:rFonts w:ascii="Times New Roman" w:hAnsi="Times New Roman" w:cs="Times New Roman"/>
          <w:sz w:val="28"/>
          <w:szCs w:val="28"/>
        </w:rPr>
        <w:t>3</w:t>
      </w:r>
      <w:r w:rsidR="00DB005C" w:rsidRPr="0076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00C59" w:rsidRPr="007676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05C" w:rsidRPr="0076766D">
        <w:rPr>
          <w:rFonts w:ascii="Times New Roman" w:hAnsi="Times New Roman" w:cs="Times New Roman"/>
          <w:sz w:val="28"/>
          <w:szCs w:val="28"/>
        </w:rPr>
        <w:t xml:space="preserve"> </w:t>
      </w:r>
      <w:r w:rsidR="00457AB1" w:rsidRPr="00C9035B">
        <w:rPr>
          <w:rFonts w:ascii="Times New Roman" w:hAnsi="Times New Roman" w:cs="Times New Roman"/>
          <w:color w:val="000000" w:themeColor="text1"/>
          <w:sz w:val="28"/>
          <w:szCs w:val="28"/>
        </w:rPr>
        <w:t>г. Смоленск</w:t>
      </w:r>
    </w:p>
    <w:p w:rsidR="00033E6F" w:rsidRDefault="00033E6F" w:rsidP="005F4E3E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28"/>
        <w:gridCol w:w="6944"/>
      </w:tblGrid>
      <w:tr w:rsidR="00CC3784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Головченко </w:t>
            </w:r>
          </w:p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Елена Эдуардовна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первый заместитель министра финансов Смоленской области, председатель конкурсной комиссии</w:t>
            </w:r>
          </w:p>
        </w:tc>
      </w:tr>
      <w:tr w:rsidR="00CC3784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587">
              <w:rPr>
                <w:rFonts w:ascii="Times New Roman" w:hAnsi="Times New Roman"/>
                <w:sz w:val="28"/>
                <w:szCs w:val="28"/>
              </w:rPr>
              <w:t>Горланова</w:t>
            </w:r>
            <w:proofErr w:type="spellEnd"/>
            <w:r w:rsidRPr="009E7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директор департамента по межбюджетным отношениям и долговым обязательствам Министерства финансов Смоленской области</w:t>
            </w:r>
          </w:p>
        </w:tc>
      </w:tr>
      <w:tr w:rsidR="00CC3784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4B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Райко </w:t>
            </w:r>
          </w:p>
          <w:p w:rsidR="00CC3784" w:rsidRPr="009E7587" w:rsidRDefault="00CC3784" w:rsidP="004B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4B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4B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gramStart"/>
            <w:r w:rsidRPr="009E7587">
              <w:rPr>
                <w:rFonts w:ascii="Times New Roman" w:hAnsi="Times New Roman"/>
                <w:sz w:val="28"/>
                <w:szCs w:val="28"/>
              </w:rPr>
              <w:t>департамента бюджетного планирования Министерства финансов Смоленской области</w:t>
            </w:r>
            <w:proofErr w:type="gramEnd"/>
          </w:p>
        </w:tc>
      </w:tr>
      <w:tr w:rsidR="00CC3784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Коновалова </w:t>
            </w:r>
          </w:p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767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9E7587">
              <w:rPr>
                <w:rFonts w:ascii="Times New Roman" w:hAnsi="Times New Roman"/>
                <w:sz w:val="28"/>
                <w:szCs w:val="28"/>
              </w:rPr>
              <w:t>директора департамента планирования расходов отраслей непроизводственной</w:t>
            </w:r>
            <w:proofErr w:type="gramEnd"/>
            <w:r w:rsidRPr="009E7587">
              <w:rPr>
                <w:rFonts w:ascii="Times New Roman" w:hAnsi="Times New Roman"/>
                <w:sz w:val="28"/>
                <w:szCs w:val="28"/>
              </w:rPr>
              <w:t xml:space="preserve"> сферы </w:t>
            </w:r>
            <w:r w:rsidR="0076766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E7587">
              <w:rPr>
                <w:rFonts w:ascii="Times New Roman" w:hAnsi="Times New Roman"/>
                <w:sz w:val="28"/>
                <w:szCs w:val="28"/>
              </w:rPr>
              <w:t xml:space="preserve"> начальник отдела </w:t>
            </w:r>
            <w:r w:rsidRPr="009E7587">
              <w:rPr>
                <w:rFonts w:ascii="Times New Roman" w:hAnsi="Times New Roman"/>
                <w:bCs/>
                <w:sz w:val="28"/>
                <w:szCs w:val="28"/>
              </w:rPr>
              <w:t xml:space="preserve">планирования расходов отраслей социальной сферы </w:t>
            </w:r>
            <w:r w:rsidRPr="009E7587">
              <w:rPr>
                <w:rFonts w:ascii="Times New Roman" w:hAnsi="Times New Roman"/>
                <w:sz w:val="28"/>
                <w:szCs w:val="28"/>
              </w:rPr>
              <w:t>Министерства финансов Смоленской области</w:t>
            </w:r>
          </w:p>
        </w:tc>
      </w:tr>
      <w:tr w:rsidR="000E4257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</w:t>
            </w:r>
          </w:p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Михайловна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начальник сводного бюджетного отдела Департамента бюджетного планирования, секретарь конкурсной комиссии</w:t>
            </w:r>
          </w:p>
        </w:tc>
      </w:tr>
      <w:tr w:rsidR="000E4257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587"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 w:rsidRPr="009E7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Галина Витальевна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4B0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начальник отдела прогнозирования и анализа доходов Министерства финансов Смоленской области</w:t>
            </w:r>
          </w:p>
        </w:tc>
      </w:tr>
      <w:tr w:rsidR="000E4257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консультант отдела автоматизированных систем управления бюджетным процессом Министерства финансов Смоленской области</w:t>
            </w:r>
          </w:p>
        </w:tc>
      </w:tr>
    </w:tbl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556E" w:rsidRDefault="00543DBB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3DBB">
        <w:rPr>
          <w:rFonts w:ascii="Times New Roman" w:hAnsi="Times New Roman" w:cs="Times New Roman"/>
          <w:b/>
          <w:sz w:val="28"/>
          <w:szCs w:val="28"/>
        </w:rPr>
        <w:lastRenderedPageBreak/>
        <w:t>Повестка заседания:</w:t>
      </w:r>
    </w:p>
    <w:p w:rsidR="00543DBB" w:rsidRDefault="00543DBB" w:rsidP="00412A59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2A59" w:rsidRDefault="00543DBB" w:rsidP="00185C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DBB">
        <w:rPr>
          <w:rFonts w:ascii="Times New Roman" w:hAnsi="Times New Roman" w:cs="Times New Roman"/>
          <w:sz w:val="28"/>
          <w:szCs w:val="28"/>
        </w:rPr>
        <w:t xml:space="preserve">Подведение итогов и </w:t>
      </w:r>
      <w:r>
        <w:rPr>
          <w:rFonts w:ascii="Times New Roman" w:hAnsi="Times New Roman" w:cs="Times New Roman"/>
          <w:sz w:val="28"/>
          <w:szCs w:val="28"/>
        </w:rPr>
        <w:t>определение победителей конкурса среди муници</w:t>
      </w:r>
      <w:r w:rsidR="00412A59">
        <w:rPr>
          <w:rFonts w:ascii="Times New Roman" w:hAnsi="Times New Roman" w:cs="Times New Roman"/>
          <w:sz w:val="28"/>
          <w:szCs w:val="28"/>
        </w:rPr>
        <w:t>пальных образований Смоленской области на лучшую брошюру «Бюджет для граждан».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84709"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сводную информацию о представлении муниципальными образованиями Смоленской области лучшей брошюры «Бюджет для граждан».</w:t>
      </w:r>
    </w:p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84709"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победителями конкурса среди муниципальных образований Смоленской области на лучшую брошюру «Бюджет для граждан» следующих участников:</w:t>
      </w:r>
    </w:p>
    <w:p w:rsidR="006B364D" w:rsidRPr="0076766D" w:rsidRDefault="00412A59" w:rsidP="00377E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766D">
        <w:rPr>
          <w:rFonts w:ascii="Times New Roman" w:hAnsi="Times New Roman" w:cs="Times New Roman"/>
          <w:sz w:val="28"/>
          <w:szCs w:val="28"/>
        </w:rPr>
        <w:t>-е</w:t>
      </w:r>
      <w:r w:rsidR="00B539F9" w:rsidRPr="0076766D">
        <w:rPr>
          <w:rFonts w:ascii="Times New Roman" w:hAnsi="Times New Roman" w:cs="Times New Roman"/>
          <w:sz w:val="28"/>
          <w:szCs w:val="28"/>
        </w:rPr>
        <w:t> </w:t>
      </w:r>
      <w:r w:rsidRPr="0076766D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6023B" w:rsidRPr="0076766D">
        <w:rPr>
          <w:rFonts w:ascii="Times New Roman" w:hAnsi="Times New Roman" w:cs="Times New Roman"/>
          <w:sz w:val="28"/>
          <w:szCs w:val="28"/>
        </w:rPr>
        <w:t>–</w:t>
      </w:r>
      <w:r w:rsidR="00C9035B" w:rsidRPr="007676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0889060"/>
      <w:r w:rsidR="0076766D" w:rsidRPr="0076766D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«Гагаринский район» Смоленской области, </w:t>
      </w:r>
      <w:r w:rsidR="009217AB" w:rsidRPr="0076766D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«Дорогобужский район» Смоленской области, </w:t>
      </w:r>
      <w:bookmarkStart w:id="1" w:name="_Hlk532974695"/>
      <w:bookmarkEnd w:id="0"/>
      <w:r w:rsidR="009217AB" w:rsidRPr="0076766D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</w:t>
      </w:r>
      <w:r w:rsidR="00B5254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217AB" w:rsidRPr="00767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17AB" w:rsidRPr="0076766D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9217AB" w:rsidRPr="0076766D">
        <w:rPr>
          <w:rFonts w:ascii="Times New Roman" w:eastAsia="Calibri" w:hAnsi="Times New Roman" w:cs="Times New Roman"/>
          <w:sz w:val="28"/>
          <w:szCs w:val="28"/>
        </w:rPr>
        <w:t xml:space="preserve"> район Смоленской области, </w:t>
      </w:r>
      <w:bookmarkEnd w:id="1"/>
      <w:r w:rsidR="0076766D" w:rsidRPr="0076766D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«Краснинский район» Смоленской области, финансовое управление Администрации муниципального образования «</w:t>
      </w:r>
      <w:proofErr w:type="spellStart"/>
      <w:r w:rsidR="0076766D" w:rsidRPr="0076766D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76766D" w:rsidRPr="0076766D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9217AB" w:rsidRPr="0076766D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«Починковский район» Смоленской области, </w:t>
      </w:r>
      <w:bookmarkStart w:id="2" w:name="_GoBack"/>
      <w:bookmarkEnd w:id="2"/>
      <w:r w:rsidR="0076766D" w:rsidRPr="0076766D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76766D" w:rsidRPr="0076766D">
        <w:rPr>
          <w:rFonts w:ascii="Times New Roman" w:eastAsia="Calibri" w:hAnsi="Times New Roman" w:cs="Times New Roman"/>
          <w:sz w:val="28"/>
          <w:szCs w:val="28"/>
        </w:rPr>
        <w:t xml:space="preserve">«Смоленский район», </w:t>
      </w:r>
      <w:r w:rsidR="009217AB" w:rsidRPr="0076766D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9217AB" w:rsidRPr="0076766D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="009217AB" w:rsidRPr="0076766D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76766D" w:rsidRPr="0076766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35B" w:rsidRPr="00B5254B" w:rsidRDefault="00412A59" w:rsidP="00C903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6766D">
        <w:rPr>
          <w:rFonts w:ascii="Times New Roman" w:hAnsi="Times New Roman" w:cs="Times New Roman"/>
          <w:sz w:val="28"/>
          <w:szCs w:val="28"/>
        </w:rPr>
        <w:t>-е</w:t>
      </w:r>
      <w:r w:rsidR="00B539F9" w:rsidRPr="0076766D">
        <w:rPr>
          <w:rFonts w:ascii="Times New Roman" w:hAnsi="Times New Roman" w:cs="Times New Roman"/>
          <w:sz w:val="28"/>
          <w:szCs w:val="28"/>
        </w:rPr>
        <w:t> </w:t>
      </w:r>
      <w:r w:rsidRPr="0076766D">
        <w:rPr>
          <w:rFonts w:ascii="Times New Roman" w:hAnsi="Times New Roman" w:cs="Times New Roman"/>
          <w:sz w:val="28"/>
          <w:szCs w:val="28"/>
        </w:rPr>
        <w:t>место –</w:t>
      </w:r>
      <w:bookmarkStart w:id="3" w:name="_Hlk59691876"/>
      <w:r w:rsidR="00B5254B">
        <w:rPr>
          <w:rFonts w:ascii="Times New Roman" w:hAnsi="Times New Roman" w:cs="Times New Roman"/>
          <w:sz w:val="28"/>
          <w:szCs w:val="28"/>
        </w:rPr>
        <w:t xml:space="preserve"> </w:t>
      </w:r>
      <w:r w:rsidR="009217AB" w:rsidRPr="00B5254B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9217AB" w:rsidRPr="00B5254B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9217AB" w:rsidRPr="00B5254B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C9035B" w:rsidRPr="00B5254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9217AB" w:rsidRPr="00B525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17AB" w:rsidRPr="00B5254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9217AB" w:rsidRPr="00B5254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9035B" w:rsidRPr="00B5254B">
        <w:rPr>
          <w:rFonts w:ascii="Times New Roman" w:hAnsi="Times New Roman" w:cs="Times New Roman"/>
          <w:sz w:val="28"/>
          <w:szCs w:val="28"/>
        </w:rPr>
        <w:t>Смоленской области,</w:t>
      </w:r>
      <w:r w:rsidR="00C9035B" w:rsidRPr="000E4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035B" w:rsidRPr="00B5254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9217AB" w:rsidRPr="00B5254B">
        <w:rPr>
          <w:rFonts w:ascii="Times New Roman" w:hAnsi="Times New Roman" w:cs="Times New Roman"/>
          <w:sz w:val="28"/>
          <w:szCs w:val="28"/>
        </w:rPr>
        <w:t>«Холм-Жирковский район»</w:t>
      </w:r>
      <w:r w:rsidR="00C9035B" w:rsidRPr="00B5254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6023B" w:rsidRPr="00B5254B">
        <w:rPr>
          <w:rFonts w:ascii="Times New Roman" w:hAnsi="Times New Roman" w:cs="Times New Roman"/>
          <w:sz w:val="28"/>
          <w:szCs w:val="28"/>
        </w:rPr>
        <w:t>,</w:t>
      </w:r>
      <w:r w:rsidR="0026023B" w:rsidRPr="00B5254B">
        <w:t xml:space="preserve"> </w:t>
      </w:r>
      <w:r w:rsidR="0026023B" w:rsidRPr="00B5254B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«Вяземский район» Смоленской области,</w:t>
      </w:r>
      <w:r w:rsidR="0026023B" w:rsidRPr="000E4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66D" w:rsidRPr="00B5254B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 Руднянский район Смоленской области,</w:t>
      </w:r>
      <w:r w:rsidR="0026023B" w:rsidRPr="000E425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6766D" w:rsidRPr="00B5254B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76766D" w:rsidRPr="00B5254B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76766D" w:rsidRPr="00B5254B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C9035B" w:rsidRPr="00B5254B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C9035B" w:rsidRPr="00B5254B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5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254B">
        <w:rPr>
          <w:rFonts w:ascii="Times New Roman" w:hAnsi="Times New Roman" w:cs="Times New Roman"/>
          <w:sz w:val="28"/>
          <w:szCs w:val="28"/>
        </w:rPr>
        <w:t>-е</w:t>
      </w:r>
      <w:r w:rsidR="00B539F9" w:rsidRPr="00B5254B">
        <w:rPr>
          <w:rFonts w:ascii="Times New Roman" w:hAnsi="Times New Roman" w:cs="Times New Roman"/>
          <w:sz w:val="28"/>
          <w:szCs w:val="28"/>
        </w:rPr>
        <w:t> </w:t>
      </w:r>
      <w:r w:rsidRPr="00B5254B">
        <w:rPr>
          <w:rFonts w:ascii="Times New Roman" w:hAnsi="Times New Roman" w:cs="Times New Roman"/>
          <w:sz w:val="28"/>
          <w:szCs w:val="28"/>
        </w:rPr>
        <w:t>место –</w:t>
      </w:r>
      <w:bookmarkStart w:id="4" w:name="_Hlk59691911"/>
      <w:r w:rsidR="00C9035B" w:rsidRPr="00B525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023B" w:rsidRPr="00B5254B">
        <w:rPr>
          <w:rFonts w:ascii="Times New Roman" w:hAnsi="Times New Roman" w:cs="Times New Roman"/>
          <w:sz w:val="28"/>
          <w:szCs w:val="28"/>
        </w:rPr>
        <w:t xml:space="preserve"> </w:t>
      </w:r>
      <w:r w:rsidR="00B5254B" w:rsidRPr="00B5254B">
        <w:rPr>
          <w:rFonts w:ascii="Times New Roman" w:eastAsia="Calibri" w:hAnsi="Times New Roman" w:cs="Times New Roman"/>
          <w:sz w:val="28"/>
          <w:szCs w:val="28"/>
        </w:rPr>
        <w:t xml:space="preserve">финансовое </w:t>
      </w:r>
      <w:r w:rsidR="00B5254B" w:rsidRPr="0076766D">
        <w:rPr>
          <w:rFonts w:ascii="Times New Roman" w:eastAsia="Calibri" w:hAnsi="Times New Roman" w:cs="Times New Roman"/>
          <w:sz w:val="28"/>
          <w:szCs w:val="28"/>
        </w:rPr>
        <w:t xml:space="preserve">управление Администрации </w:t>
      </w:r>
      <w:proofErr w:type="gramStart"/>
      <w:r w:rsidR="00B5254B" w:rsidRPr="0076766D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="00B5254B" w:rsidRPr="00767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5254B" w:rsidRPr="0076766D">
        <w:rPr>
          <w:rFonts w:ascii="Times New Roman" w:eastAsia="Calibri" w:hAnsi="Times New Roman" w:cs="Times New Roman"/>
          <w:sz w:val="28"/>
          <w:szCs w:val="28"/>
        </w:rPr>
        <w:t>образования «Демидовский район» Смоленской области</w:t>
      </w:r>
      <w:r w:rsidR="00B5254B" w:rsidRPr="00B52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254B" w:rsidRPr="00B5254B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«Глинковский район» Смоленской области, финансовое управление Администрации муниципального образования «</w:t>
      </w:r>
      <w:proofErr w:type="spellStart"/>
      <w:r w:rsidR="00B5254B" w:rsidRPr="00B5254B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B5254B" w:rsidRPr="00B5254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B5254B">
        <w:rPr>
          <w:rFonts w:ascii="Times New Roman" w:hAnsi="Times New Roman" w:cs="Times New Roman"/>
          <w:sz w:val="28"/>
          <w:szCs w:val="28"/>
        </w:rPr>
        <w:t>,</w:t>
      </w:r>
      <w:r w:rsidR="00B5254B" w:rsidRPr="00B5254B">
        <w:rPr>
          <w:rFonts w:ascii="Times New Roman" w:hAnsi="Times New Roman" w:cs="Times New Roman"/>
          <w:sz w:val="28"/>
          <w:szCs w:val="28"/>
        </w:rPr>
        <w:t xml:space="preserve"> </w:t>
      </w:r>
      <w:r w:rsidR="0026023B" w:rsidRPr="00B5254B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26023B" w:rsidRPr="00B5254B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26023B" w:rsidRPr="00B5254B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B5254B" w:rsidRPr="00B5254B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B5254B" w:rsidRPr="00B5254B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B5254B" w:rsidRPr="00B5254B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26023B" w:rsidRPr="00B5254B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B5254B" w:rsidRPr="00B5254B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26023B" w:rsidRPr="00B5254B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B5254B" w:rsidRPr="00B5254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B5254B" w:rsidRPr="00B5254B">
        <w:rPr>
          <w:rFonts w:ascii="Times New Roman" w:eastAsia="Calibri" w:hAnsi="Times New Roman" w:cs="Times New Roman"/>
          <w:sz w:val="28"/>
          <w:szCs w:val="28"/>
        </w:rPr>
        <w:t xml:space="preserve">«Ярцевский район» </w:t>
      </w:r>
      <w:r w:rsidR="00B5254B" w:rsidRPr="00B5254B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6023B" w:rsidRPr="00B525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4"/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Победителей конкурса наградить дипломами.</w:t>
      </w:r>
    </w:p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Разместить конкурсные материалы на официальном сайте </w:t>
      </w:r>
      <w:r w:rsidR="00B5254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</w:t>
      </w:r>
      <w:r w:rsidR="0076766D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Смоленской области.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5E7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Е.Э. Головченко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59" w:rsidRP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A59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</w:t>
      </w:r>
      <w:r w:rsidR="00472B9A">
        <w:rPr>
          <w:rFonts w:ascii="Times New Roman" w:hAnsi="Times New Roman" w:cs="Times New Roman"/>
          <w:sz w:val="28"/>
          <w:szCs w:val="28"/>
        </w:rPr>
        <w:t xml:space="preserve">     </w:t>
      </w:r>
      <w:r w:rsidR="009217AB">
        <w:rPr>
          <w:rFonts w:ascii="Times New Roman" w:hAnsi="Times New Roman" w:cs="Times New Roman"/>
          <w:sz w:val="28"/>
          <w:szCs w:val="28"/>
        </w:rPr>
        <w:t xml:space="preserve">     </w:t>
      </w:r>
      <w:r w:rsidR="00472B9A">
        <w:rPr>
          <w:rFonts w:ascii="Times New Roman" w:hAnsi="Times New Roman" w:cs="Times New Roman"/>
          <w:sz w:val="28"/>
          <w:szCs w:val="28"/>
        </w:rPr>
        <w:t xml:space="preserve"> </w:t>
      </w:r>
      <w:r w:rsidR="009217AB">
        <w:rPr>
          <w:rFonts w:ascii="Times New Roman" w:hAnsi="Times New Roman" w:cs="Times New Roman"/>
          <w:b/>
          <w:sz w:val="28"/>
          <w:szCs w:val="28"/>
        </w:rPr>
        <w:t>О.М</w:t>
      </w:r>
      <w:r w:rsidRPr="00412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17AB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140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9B114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протоколу заседания 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конкурсной комиссии по 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проведению областного конкурса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среди муниципальных образований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Смоленской области на лучшую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5A6B">
        <w:rPr>
          <w:rFonts w:ascii="Times New Roman" w:hAnsi="Times New Roman" w:cs="Times New Roman"/>
          <w:sz w:val="28"/>
          <w:szCs w:val="28"/>
        </w:rPr>
        <w:t xml:space="preserve">                               б</w:t>
      </w:r>
      <w:r>
        <w:rPr>
          <w:rFonts w:ascii="Times New Roman" w:hAnsi="Times New Roman" w:cs="Times New Roman"/>
          <w:sz w:val="28"/>
          <w:szCs w:val="28"/>
        </w:rPr>
        <w:t>рошюру «Бюджет для граждан»</w:t>
      </w:r>
    </w:p>
    <w:p w:rsidR="00FD4438" w:rsidRPr="0076766D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FE2E02" w:rsidRPr="0076766D">
        <w:rPr>
          <w:rFonts w:ascii="Times New Roman" w:hAnsi="Times New Roman" w:cs="Times New Roman"/>
          <w:sz w:val="28"/>
          <w:szCs w:val="28"/>
        </w:rPr>
        <w:t>2</w:t>
      </w:r>
      <w:r w:rsidR="0076766D">
        <w:rPr>
          <w:rFonts w:ascii="Times New Roman" w:hAnsi="Times New Roman" w:cs="Times New Roman"/>
          <w:sz w:val="28"/>
          <w:szCs w:val="28"/>
        </w:rPr>
        <w:t>8</w:t>
      </w:r>
      <w:r w:rsidRPr="0076766D">
        <w:rPr>
          <w:rFonts w:ascii="Times New Roman" w:hAnsi="Times New Roman" w:cs="Times New Roman"/>
          <w:sz w:val="28"/>
          <w:szCs w:val="28"/>
        </w:rPr>
        <w:t>.12.20</w:t>
      </w:r>
      <w:r w:rsidR="00AF2C35" w:rsidRPr="0076766D">
        <w:rPr>
          <w:rFonts w:ascii="Times New Roman" w:hAnsi="Times New Roman" w:cs="Times New Roman"/>
          <w:sz w:val="28"/>
          <w:szCs w:val="28"/>
        </w:rPr>
        <w:t>2</w:t>
      </w:r>
      <w:r w:rsidR="000E4257" w:rsidRPr="0076766D">
        <w:rPr>
          <w:rFonts w:ascii="Times New Roman" w:hAnsi="Times New Roman" w:cs="Times New Roman"/>
          <w:sz w:val="28"/>
          <w:szCs w:val="28"/>
        </w:rPr>
        <w:t>3</w:t>
      </w:r>
    </w:p>
    <w:p w:rsidR="00FD4438" w:rsidRPr="00AB57ED" w:rsidRDefault="00FD4438" w:rsidP="00FD4438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FD4438" w:rsidRPr="00FD4438" w:rsidRDefault="00FD4438" w:rsidP="00FD44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38">
        <w:rPr>
          <w:rFonts w:ascii="Times New Roman" w:hAnsi="Times New Roman" w:cs="Times New Roman"/>
          <w:b/>
          <w:sz w:val="28"/>
          <w:szCs w:val="28"/>
        </w:rPr>
        <w:t>Сводная информация о предоставлении муниципальными образованиями Смоленской области лучшей брошюры «Бюджет для граждан»</w:t>
      </w:r>
    </w:p>
    <w:p w:rsidR="009B1140" w:rsidRPr="00AB57ED" w:rsidRDefault="009B1140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0326" w:type="dxa"/>
        <w:tblLook w:val="04A0" w:firstRow="1" w:lastRow="0" w:firstColumn="1" w:lastColumn="0" w:noHBand="0" w:noVBand="1"/>
      </w:tblPr>
      <w:tblGrid>
        <w:gridCol w:w="817"/>
        <w:gridCol w:w="7796"/>
        <w:gridCol w:w="1713"/>
      </w:tblGrid>
      <w:tr w:rsidR="00FD4438" w:rsidTr="00AB57ED">
        <w:tc>
          <w:tcPr>
            <w:tcW w:w="817" w:type="dxa"/>
          </w:tcPr>
          <w:p w:rsidR="00FD4438" w:rsidRPr="00FD4438" w:rsidRDefault="00FD4438" w:rsidP="00FD44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6" w:type="dxa"/>
          </w:tcPr>
          <w:p w:rsidR="00FD4438" w:rsidRPr="00FD4438" w:rsidRDefault="00FD4438" w:rsidP="00FD44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FD4438" w:rsidRPr="00FD4438" w:rsidRDefault="00FD4438" w:rsidP="00FD44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«Гагаринский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«Дорогобужский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EF6E67" w:rsidRPr="00495C42" w:rsidRDefault="00EF6E67" w:rsidP="00DB43D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Финансовое управление Администрации муниципального образования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Ершичский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«Краснинский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Новодугинский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32911777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bookmarkEnd w:id="5"/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59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Кардымовский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58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57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EF6E67" w:rsidRPr="00495C42" w:rsidRDefault="00EF6E67" w:rsidP="00DB43D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Финансовое управление Администрации муниципального образования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Руднянский район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57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Сычевский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57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Монастырщинский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56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«Демидовский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53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«Глинковский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52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Угранский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52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«Ярцевский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52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Ельнинский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51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Хиславичский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51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51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«г. Десногорск»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49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«г. Смоленск»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43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«Духовщинский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42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«Рославльский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33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Темкинский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27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«Велижский район» Смоленской области</w:t>
            </w:r>
          </w:p>
        </w:tc>
        <w:tc>
          <w:tcPr>
            <w:tcW w:w="1713" w:type="dxa"/>
          </w:tcPr>
          <w:p w:rsidR="00EF6E67" w:rsidRPr="00EF6E67" w:rsidRDefault="00EF6E67" w:rsidP="00EF6E67">
            <w:pPr>
              <w:jc w:val="center"/>
              <w:rPr>
                <w:sz w:val="28"/>
                <w:szCs w:val="28"/>
              </w:rPr>
            </w:pPr>
            <w:r w:rsidRPr="00EF6E67">
              <w:rPr>
                <w:sz w:val="28"/>
                <w:szCs w:val="28"/>
              </w:rPr>
              <w:t>24</w:t>
            </w:r>
          </w:p>
        </w:tc>
      </w:tr>
    </w:tbl>
    <w:p w:rsidR="00412A59" w:rsidRPr="00543DBB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2A59" w:rsidRPr="00543DBB" w:rsidSect="002E7D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178"/>
    <w:multiLevelType w:val="hybridMultilevel"/>
    <w:tmpl w:val="902EDD28"/>
    <w:lvl w:ilvl="0" w:tplc="FB72E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B7166"/>
    <w:multiLevelType w:val="hybridMultilevel"/>
    <w:tmpl w:val="45CAE674"/>
    <w:lvl w:ilvl="0" w:tplc="2EE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42271"/>
    <w:multiLevelType w:val="hybridMultilevel"/>
    <w:tmpl w:val="82C40766"/>
    <w:lvl w:ilvl="0" w:tplc="97C28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B1"/>
    <w:rsid w:val="00014BCA"/>
    <w:rsid w:val="00033E6F"/>
    <w:rsid w:val="00052DA6"/>
    <w:rsid w:val="00071681"/>
    <w:rsid w:val="000763D0"/>
    <w:rsid w:val="0009378E"/>
    <w:rsid w:val="000A289D"/>
    <w:rsid w:val="000A2D90"/>
    <w:rsid w:val="000E4257"/>
    <w:rsid w:val="000F3460"/>
    <w:rsid w:val="00105EEA"/>
    <w:rsid w:val="00117216"/>
    <w:rsid w:val="00185CBB"/>
    <w:rsid w:val="001C65B5"/>
    <w:rsid w:val="0026023B"/>
    <w:rsid w:val="00266506"/>
    <w:rsid w:val="002B114A"/>
    <w:rsid w:val="002B163E"/>
    <w:rsid w:val="002E39C3"/>
    <w:rsid w:val="002E6839"/>
    <w:rsid w:val="002E7D1F"/>
    <w:rsid w:val="00325AD8"/>
    <w:rsid w:val="003631EE"/>
    <w:rsid w:val="00367FC9"/>
    <w:rsid w:val="00375FCA"/>
    <w:rsid w:val="00377E6F"/>
    <w:rsid w:val="0039423C"/>
    <w:rsid w:val="003A5A6B"/>
    <w:rsid w:val="003C5364"/>
    <w:rsid w:val="003E32F8"/>
    <w:rsid w:val="004006A7"/>
    <w:rsid w:val="00400C59"/>
    <w:rsid w:val="00406C38"/>
    <w:rsid w:val="00412A59"/>
    <w:rsid w:val="00417204"/>
    <w:rsid w:val="00446535"/>
    <w:rsid w:val="00451003"/>
    <w:rsid w:val="00457AB1"/>
    <w:rsid w:val="0046388A"/>
    <w:rsid w:val="00472B9A"/>
    <w:rsid w:val="00495C42"/>
    <w:rsid w:val="004B7A7E"/>
    <w:rsid w:val="004F3081"/>
    <w:rsid w:val="00521AC9"/>
    <w:rsid w:val="005418F0"/>
    <w:rsid w:val="00543DBB"/>
    <w:rsid w:val="00556F09"/>
    <w:rsid w:val="005E7C6E"/>
    <w:rsid w:val="005F4E3E"/>
    <w:rsid w:val="00622643"/>
    <w:rsid w:val="006227E1"/>
    <w:rsid w:val="0062589F"/>
    <w:rsid w:val="00636E24"/>
    <w:rsid w:val="00672F9D"/>
    <w:rsid w:val="0069524A"/>
    <w:rsid w:val="006A5839"/>
    <w:rsid w:val="006B072F"/>
    <w:rsid w:val="006B364D"/>
    <w:rsid w:val="006D56AE"/>
    <w:rsid w:val="006E3182"/>
    <w:rsid w:val="0071036A"/>
    <w:rsid w:val="00735514"/>
    <w:rsid w:val="00764854"/>
    <w:rsid w:val="0076766D"/>
    <w:rsid w:val="007765C0"/>
    <w:rsid w:val="007D377E"/>
    <w:rsid w:val="007D51E5"/>
    <w:rsid w:val="007E2360"/>
    <w:rsid w:val="00845AAA"/>
    <w:rsid w:val="008F145E"/>
    <w:rsid w:val="009217AB"/>
    <w:rsid w:val="0097249C"/>
    <w:rsid w:val="009B1140"/>
    <w:rsid w:val="009C40DC"/>
    <w:rsid w:val="009C4E65"/>
    <w:rsid w:val="009E282A"/>
    <w:rsid w:val="00A2523A"/>
    <w:rsid w:val="00A506C6"/>
    <w:rsid w:val="00A94A0D"/>
    <w:rsid w:val="00AA58AB"/>
    <w:rsid w:val="00AB57ED"/>
    <w:rsid w:val="00AC280B"/>
    <w:rsid w:val="00AE6F3B"/>
    <w:rsid w:val="00AF2C35"/>
    <w:rsid w:val="00AF4A11"/>
    <w:rsid w:val="00B06C81"/>
    <w:rsid w:val="00B5254B"/>
    <w:rsid w:val="00B539F9"/>
    <w:rsid w:val="00B5556E"/>
    <w:rsid w:val="00B81B0A"/>
    <w:rsid w:val="00B8429F"/>
    <w:rsid w:val="00B84709"/>
    <w:rsid w:val="00BE4CF7"/>
    <w:rsid w:val="00C0452B"/>
    <w:rsid w:val="00C2289A"/>
    <w:rsid w:val="00C335E4"/>
    <w:rsid w:val="00C9035B"/>
    <w:rsid w:val="00CB0333"/>
    <w:rsid w:val="00CC3784"/>
    <w:rsid w:val="00CE47CC"/>
    <w:rsid w:val="00CF121A"/>
    <w:rsid w:val="00D03D42"/>
    <w:rsid w:val="00D05521"/>
    <w:rsid w:val="00D144A3"/>
    <w:rsid w:val="00D244BC"/>
    <w:rsid w:val="00D44E04"/>
    <w:rsid w:val="00D473A7"/>
    <w:rsid w:val="00D91BAC"/>
    <w:rsid w:val="00DA37D0"/>
    <w:rsid w:val="00DB005C"/>
    <w:rsid w:val="00DB43D9"/>
    <w:rsid w:val="00E241FF"/>
    <w:rsid w:val="00E56242"/>
    <w:rsid w:val="00EC6302"/>
    <w:rsid w:val="00EF6E67"/>
    <w:rsid w:val="00F65745"/>
    <w:rsid w:val="00F90B03"/>
    <w:rsid w:val="00FD0849"/>
    <w:rsid w:val="00FD4438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D0"/>
    <w:pPr>
      <w:ind w:left="720"/>
      <w:contextualSpacing/>
    </w:pPr>
  </w:style>
  <w:style w:type="table" w:styleId="a4">
    <w:name w:val="Table Grid"/>
    <w:basedOn w:val="a1"/>
    <w:uiPriority w:val="59"/>
    <w:rsid w:val="0003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D0"/>
    <w:pPr>
      <w:ind w:left="720"/>
      <w:contextualSpacing/>
    </w:pPr>
  </w:style>
  <w:style w:type="table" w:styleId="a4">
    <w:name w:val="Table Grid"/>
    <w:basedOn w:val="a1"/>
    <w:uiPriority w:val="59"/>
    <w:rsid w:val="0003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DA7C-3AD0-4E96-9A8C-2A9DAE23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Murashkina_AA</dc:creator>
  <cp:lastModifiedBy>Родионова Татьяна Витальевна</cp:lastModifiedBy>
  <cp:revision>7</cp:revision>
  <cp:lastPrinted>2023-12-28T14:36:00Z</cp:lastPrinted>
  <dcterms:created xsi:type="dcterms:W3CDTF">2023-12-21T13:24:00Z</dcterms:created>
  <dcterms:modified xsi:type="dcterms:W3CDTF">2023-12-29T07:04:00Z</dcterms:modified>
</cp:coreProperties>
</file>