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CC" w:rsidRPr="00CE002B" w:rsidRDefault="003554CC" w:rsidP="003554CC">
      <w:pPr>
        <w:pStyle w:val="ae"/>
        <w:spacing w:line="360" w:lineRule="auto"/>
        <w:contextualSpacing/>
        <w:rPr>
          <w:bCs/>
          <w:color w:val="808080"/>
          <w:szCs w:val="28"/>
        </w:rPr>
      </w:pPr>
      <w:r w:rsidRPr="00CE469E">
        <w:rPr>
          <w:noProof/>
        </w:rPr>
        <w:drawing>
          <wp:inline distT="0" distB="0" distL="0" distR="0" wp14:anchorId="016D1F74" wp14:editId="525C5CD0">
            <wp:extent cx="714375" cy="828675"/>
            <wp:effectExtent l="0" t="0" r="0" b="0"/>
            <wp:docPr id="1" name="Рисунок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54CC" w:rsidRPr="002F450E" w:rsidRDefault="003554CC" w:rsidP="003554CC">
      <w:pPr>
        <w:pStyle w:val="ae"/>
        <w:rPr>
          <w:b w:val="0"/>
          <w:color w:val="141496"/>
          <w:szCs w:val="28"/>
        </w:rPr>
      </w:pPr>
      <w:r>
        <w:rPr>
          <w:b w:val="0"/>
          <w:color w:val="141496"/>
          <w:szCs w:val="28"/>
        </w:rPr>
        <w:t>МИНИСТЕРСТВО</w:t>
      </w:r>
      <w:r w:rsidRPr="002F450E">
        <w:rPr>
          <w:b w:val="0"/>
          <w:color w:val="141496"/>
          <w:szCs w:val="28"/>
        </w:rPr>
        <w:t xml:space="preserve"> ФИНАНСОВ СМОЛЕНСКОЙ ОБЛАСТИ</w:t>
      </w:r>
    </w:p>
    <w:p w:rsidR="003554CC" w:rsidRPr="00CE469E" w:rsidRDefault="003554CC" w:rsidP="003554CC">
      <w:pPr>
        <w:pStyle w:val="ae"/>
        <w:contextualSpacing/>
        <w:rPr>
          <w:b w:val="0"/>
          <w:color w:val="141496"/>
          <w:spacing w:val="20"/>
          <w:szCs w:val="28"/>
        </w:rPr>
      </w:pPr>
    </w:p>
    <w:p w:rsidR="003554CC" w:rsidRPr="004B72B3" w:rsidRDefault="003554CC" w:rsidP="003554CC">
      <w:pPr>
        <w:jc w:val="center"/>
        <w:rPr>
          <w:b/>
          <w:color w:val="141496"/>
          <w:spacing w:val="20"/>
          <w:sz w:val="32"/>
        </w:rPr>
      </w:pPr>
      <w:r w:rsidRPr="004B72B3">
        <w:rPr>
          <w:b/>
          <w:color w:val="141496"/>
          <w:spacing w:val="20"/>
          <w:sz w:val="32"/>
        </w:rPr>
        <w:t>П Р И К А З</w:t>
      </w:r>
    </w:p>
    <w:p w:rsidR="003554CC" w:rsidRPr="004012C1" w:rsidRDefault="003554CC" w:rsidP="003554CC">
      <w:pPr>
        <w:rPr>
          <w:sz w:val="28"/>
          <w:szCs w:val="28"/>
        </w:rPr>
      </w:pP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  <w:gridCol w:w="1276"/>
      </w:tblGrid>
      <w:tr w:rsidR="003554CC" w:rsidRPr="00970B7D" w:rsidTr="0011499B">
        <w:tc>
          <w:tcPr>
            <w:tcW w:w="2268" w:type="dxa"/>
          </w:tcPr>
          <w:p w:rsidR="003554CC" w:rsidRPr="00970B7D" w:rsidRDefault="003554CC" w:rsidP="0011499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3554CC" w:rsidRPr="004B72B3" w:rsidRDefault="003554CC" w:rsidP="0011499B">
            <w:pPr>
              <w:ind w:firstLine="709"/>
              <w:contextualSpacing/>
              <w:jc w:val="right"/>
              <w:rPr>
                <w:sz w:val="28"/>
                <w:szCs w:val="28"/>
              </w:rPr>
            </w:pPr>
            <w:r w:rsidRPr="004B72B3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3554CC" w:rsidRPr="004B72B3" w:rsidRDefault="003554CC" w:rsidP="0011499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3554CC" w:rsidRPr="002F450E" w:rsidRDefault="003554CC" w:rsidP="003554CC">
      <w:pPr>
        <w:ind w:firstLine="709"/>
        <w:contextualSpacing/>
      </w:pPr>
    </w:p>
    <w:p w:rsidR="003554CC" w:rsidRPr="002F450E" w:rsidRDefault="003554CC" w:rsidP="003554CC">
      <w:pPr>
        <w:ind w:firstLine="709"/>
        <w:contextualSpacing/>
      </w:pPr>
    </w:p>
    <w:p w:rsidR="00C84E5B" w:rsidRPr="0046791B" w:rsidRDefault="00C84E5B" w:rsidP="00C84E5B">
      <w:pPr>
        <w:jc w:val="center"/>
        <w:rPr>
          <w:color w:val="000000" w:themeColor="text1"/>
          <w:szCs w:val="28"/>
        </w:rPr>
      </w:pPr>
    </w:p>
    <w:p w:rsidR="00A439A8" w:rsidRPr="0046791B" w:rsidRDefault="007818A8" w:rsidP="007818A8">
      <w:pPr>
        <w:tabs>
          <w:tab w:val="left" w:pos="3969"/>
        </w:tabs>
        <w:autoSpaceDE w:val="0"/>
        <w:autoSpaceDN w:val="0"/>
        <w:adjustRightInd w:val="0"/>
        <w:ind w:right="6377"/>
        <w:jc w:val="both"/>
        <w:rPr>
          <w:color w:val="000000" w:themeColor="text1"/>
          <w:sz w:val="28"/>
          <w:szCs w:val="28"/>
        </w:rPr>
      </w:pPr>
      <w:r w:rsidRPr="00C627EF">
        <w:rPr>
          <w:sz w:val="28"/>
          <w:szCs w:val="28"/>
        </w:rPr>
        <w:t>Об утверждении Методических рекомендаций по составлению реестра расходных обязательств Смоленской области на 202</w:t>
      </w:r>
      <w:r w:rsidR="0046338B">
        <w:rPr>
          <w:sz w:val="28"/>
          <w:szCs w:val="28"/>
        </w:rPr>
        <w:t>7</w:t>
      </w:r>
      <w:r w:rsidRPr="00C627EF">
        <w:rPr>
          <w:sz w:val="28"/>
          <w:szCs w:val="28"/>
        </w:rPr>
        <w:t>-202</w:t>
      </w:r>
      <w:r w:rsidR="0046338B">
        <w:rPr>
          <w:sz w:val="28"/>
          <w:szCs w:val="28"/>
        </w:rPr>
        <w:t>9</w:t>
      </w:r>
      <w:r w:rsidRPr="00C627EF">
        <w:rPr>
          <w:sz w:val="28"/>
          <w:szCs w:val="28"/>
        </w:rPr>
        <w:t xml:space="preserve"> годы</w:t>
      </w:r>
    </w:p>
    <w:p w:rsidR="00A439A8" w:rsidRPr="0046791B" w:rsidRDefault="00A439A8" w:rsidP="00A439A8">
      <w:pPr>
        <w:ind w:right="4855"/>
        <w:rPr>
          <w:color w:val="000000" w:themeColor="text1"/>
          <w:sz w:val="28"/>
          <w:szCs w:val="28"/>
        </w:rPr>
      </w:pPr>
    </w:p>
    <w:p w:rsidR="00CB126C" w:rsidRPr="0046791B" w:rsidRDefault="00CB126C" w:rsidP="00A439A8">
      <w:pPr>
        <w:ind w:right="4855"/>
        <w:rPr>
          <w:color w:val="000000" w:themeColor="text1"/>
          <w:sz w:val="28"/>
          <w:szCs w:val="28"/>
        </w:rPr>
      </w:pPr>
    </w:p>
    <w:p w:rsidR="007818A8" w:rsidRPr="00C627EF" w:rsidRDefault="007818A8" w:rsidP="007818A8">
      <w:pPr>
        <w:rPr>
          <w:sz w:val="28"/>
          <w:szCs w:val="28"/>
        </w:rPr>
      </w:pPr>
      <w:r w:rsidRPr="00C627EF">
        <w:rPr>
          <w:sz w:val="28"/>
          <w:szCs w:val="28"/>
        </w:rPr>
        <w:t>п р и к а з ы в а ю:</w:t>
      </w:r>
    </w:p>
    <w:p w:rsidR="007818A8" w:rsidRPr="00C627EF" w:rsidRDefault="007818A8" w:rsidP="007818A8">
      <w:pPr>
        <w:rPr>
          <w:sz w:val="28"/>
          <w:szCs w:val="28"/>
        </w:rPr>
      </w:pPr>
    </w:p>
    <w:p w:rsidR="00043C49" w:rsidRDefault="007818A8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627EF">
        <w:rPr>
          <w:sz w:val="28"/>
          <w:szCs w:val="28"/>
        </w:rPr>
        <w:t>Утвердить прилагаемые Методические рекомендации по составлению реестра расходных обязательств Смоленской области на 202</w:t>
      </w:r>
      <w:r w:rsidR="0046338B">
        <w:rPr>
          <w:sz w:val="28"/>
          <w:szCs w:val="28"/>
        </w:rPr>
        <w:t>7</w:t>
      </w:r>
      <w:r w:rsidRPr="00C627EF">
        <w:rPr>
          <w:sz w:val="28"/>
          <w:szCs w:val="28"/>
        </w:rPr>
        <w:t>-202</w:t>
      </w:r>
      <w:r w:rsidR="0046338B">
        <w:rPr>
          <w:sz w:val="28"/>
          <w:szCs w:val="28"/>
        </w:rPr>
        <w:t>9</w:t>
      </w:r>
      <w:r w:rsidRPr="00C627EF">
        <w:rPr>
          <w:sz w:val="28"/>
          <w:szCs w:val="28"/>
        </w:rPr>
        <w:t xml:space="preserve"> годы.</w:t>
      </w:r>
    </w:p>
    <w:p w:rsidR="00304557" w:rsidRDefault="00304557" w:rsidP="00304557">
      <w:pPr>
        <w:rPr>
          <w:sz w:val="28"/>
          <w:szCs w:val="28"/>
        </w:rPr>
      </w:pPr>
    </w:p>
    <w:p w:rsidR="00304557" w:rsidRPr="00CD5B57" w:rsidRDefault="00304557" w:rsidP="00304557">
      <w:pPr>
        <w:rPr>
          <w:sz w:val="28"/>
          <w:szCs w:val="28"/>
        </w:rPr>
      </w:pPr>
    </w:p>
    <w:p w:rsidR="00FD4CBF" w:rsidRDefault="00304557" w:rsidP="00304557">
      <w:pPr>
        <w:rPr>
          <w:sz w:val="28"/>
          <w:szCs w:val="28"/>
        </w:rPr>
      </w:pPr>
      <w:r w:rsidRPr="00CD5B57">
        <w:rPr>
          <w:sz w:val="28"/>
          <w:szCs w:val="28"/>
        </w:rPr>
        <w:t xml:space="preserve">Заместитель председателя </w:t>
      </w:r>
    </w:p>
    <w:p w:rsidR="00FD4CBF" w:rsidRDefault="00304557" w:rsidP="00304557">
      <w:pPr>
        <w:rPr>
          <w:sz w:val="28"/>
          <w:szCs w:val="28"/>
        </w:rPr>
      </w:pPr>
      <w:r w:rsidRPr="00CD5B57">
        <w:rPr>
          <w:sz w:val="28"/>
          <w:szCs w:val="28"/>
        </w:rPr>
        <w:t>Правительства</w:t>
      </w:r>
      <w:r w:rsidR="00FD4CBF" w:rsidRPr="00FD4CBF">
        <w:rPr>
          <w:sz w:val="28"/>
          <w:szCs w:val="28"/>
        </w:rPr>
        <w:t xml:space="preserve"> </w:t>
      </w:r>
      <w:r w:rsidRPr="00CD5B57">
        <w:rPr>
          <w:sz w:val="28"/>
          <w:szCs w:val="28"/>
        </w:rPr>
        <w:t xml:space="preserve">Смоленской области – </w:t>
      </w:r>
    </w:p>
    <w:p w:rsidR="00304557" w:rsidRDefault="00304557" w:rsidP="00304557">
      <w:pPr>
        <w:rPr>
          <w:b/>
          <w:sz w:val="28"/>
          <w:szCs w:val="28"/>
        </w:rPr>
      </w:pPr>
      <w:r w:rsidRPr="00CD5B57">
        <w:rPr>
          <w:sz w:val="28"/>
          <w:szCs w:val="28"/>
        </w:rPr>
        <w:t>министр финансов</w:t>
      </w:r>
      <w:r w:rsidR="00FD4CBF" w:rsidRPr="00FD4CBF">
        <w:rPr>
          <w:sz w:val="28"/>
          <w:szCs w:val="28"/>
        </w:rPr>
        <w:t xml:space="preserve"> </w:t>
      </w:r>
      <w:r w:rsidRPr="00CD5B5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4CBF" w:rsidRPr="00FD4CB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И.А. Савина</w:t>
      </w: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04557" w:rsidRDefault="00304557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88"/>
        <w:gridCol w:w="4433"/>
      </w:tblGrid>
      <w:tr w:rsidR="00304557" w:rsidTr="00304557">
        <w:tc>
          <w:tcPr>
            <w:tcW w:w="5988" w:type="dxa"/>
          </w:tcPr>
          <w:p w:rsidR="00304557" w:rsidRDefault="00304557">
            <w:pPr>
              <w:spacing w:line="25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4433" w:type="dxa"/>
          </w:tcPr>
          <w:p w:rsidR="00304557" w:rsidRDefault="00304557" w:rsidP="00FD4CB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304557" w:rsidRDefault="00304557" w:rsidP="00FD4CB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Министерства финансов Смоленской области</w:t>
            </w:r>
          </w:p>
          <w:p w:rsidR="00304557" w:rsidRDefault="00304557" w:rsidP="00FD4CBF">
            <w:pPr>
              <w:spacing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 _________________ № ______</w:t>
            </w:r>
          </w:p>
          <w:p w:rsidR="00304557" w:rsidRDefault="00304557">
            <w:pPr>
              <w:spacing w:line="256" w:lineRule="auto"/>
              <w:rPr>
                <w:sz w:val="28"/>
                <w:szCs w:val="28"/>
              </w:rPr>
            </w:pPr>
          </w:p>
          <w:p w:rsidR="00304557" w:rsidRDefault="00304557">
            <w:pPr>
              <w:spacing w:line="256" w:lineRule="auto"/>
              <w:rPr>
                <w:sz w:val="28"/>
                <w:szCs w:val="28"/>
              </w:rPr>
            </w:pPr>
          </w:p>
        </w:tc>
      </w:tr>
    </w:tbl>
    <w:p w:rsidR="00FD4CBF" w:rsidRDefault="00FD4CBF" w:rsidP="00FD4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FD4CBF" w:rsidRDefault="00FD4CBF" w:rsidP="00FD4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составлению реестра расходных обязательств Смоленской области </w:t>
      </w:r>
    </w:p>
    <w:p w:rsidR="00FD4CBF" w:rsidRDefault="00FD4CBF" w:rsidP="00FD4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4633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-202</w:t>
      </w:r>
      <w:r w:rsidR="0046338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годы</w:t>
      </w:r>
    </w:p>
    <w:p w:rsidR="00FD4CBF" w:rsidRDefault="00FD4CBF" w:rsidP="00FD4CBF">
      <w:pPr>
        <w:ind w:firstLine="709"/>
        <w:jc w:val="center"/>
        <w:rPr>
          <w:b/>
          <w:sz w:val="28"/>
          <w:szCs w:val="28"/>
        </w:rPr>
      </w:pP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Настоящие Методические рекомендации по составлению реестра расходных обязательств Смоленской области на 202</w:t>
      </w:r>
      <w:r w:rsidR="0046338B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46338B">
        <w:rPr>
          <w:sz w:val="28"/>
          <w:szCs w:val="28"/>
        </w:rPr>
        <w:t>9</w:t>
      </w:r>
      <w:r>
        <w:rPr>
          <w:sz w:val="28"/>
          <w:szCs w:val="28"/>
        </w:rPr>
        <w:t xml:space="preserve"> годы (далее также – расходные обязательства) применяются субъектами бюджетного планирования Смоленской области (далее – субъекты бюджетного планирования) при составлении реестра расходных обязательств Смоленской области.</w:t>
      </w:r>
    </w:p>
    <w:p w:rsidR="00FD4CBF" w:rsidRPr="00A40155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Реестры расходных обязательств субъектов бюджетного планирования (далее – реестр) формируются соответствующими субъектами бюджетного планирования в программном комплексе «Проект-СМАРТ Про» (далее – ПК «Проект») и представляются в Министерство финансов Смоленской области (далее – Министерство финансов) в электронном виде в государственной информационной системе «Система электронного документооборота Смоленской области» (далее – «СЭД СО»</w:t>
      </w:r>
      <w:r w:rsidR="002C7154" w:rsidRPr="002C7154">
        <w:rPr>
          <w:sz w:val="28"/>
          <w:szCs w:val="28"/>
        </w:rPr>
        <w:t>)</w:t>
      </w:r>
      <w:r>
        <w:rPr>
          <w:sz w:val="28"/>
          <w:szCs w:val="28"/>
        </w:rPr>
        <w:t xml:space="preserve"> в срок не </w:t>
      </w:r>
      <w:r w:rsidRPr="00A40155">
        <w:rPr>
          <w:sz w:val="28"/>
          <w:szCs w:val="28"/>
        </w:rPr>
        <w:t xml:space="preserve">позднее </w:t>
      </w:r>
      <w:r w:rsidR="00811DC8" w:rsidRPr="00A40155">
        <w:rPr>
          <w:sz w:val="28"/>
          <w:szCs w:val="28"/>
        </w:rPr>
        <w:t>0</w:t>
      </w:r>
      <w:r w:rsidRPr="00A40155">
        <w:rPr>
          <w:sz w:val="28"/>
          <w:szCs w:val="28"/>
        </w:rPr>
        <w:t>1.04.202</w:t>
      </w:r>
      <w:r w:rsidR="00895FD5" w:rsidRPr="00A40155">
        <w:rPr>
          <w:sz w:val="28"/>
          <w:szCs w:val="28"/>
        </w:rPr>
        <w:t>6</w:t>
      </w:r>
      <w:r w:rsidRPr="00A40155">
        <w:rPr>
          <w:sz w:val="28"/>
          <w:szCs w:val="28"/>
        </w:rPr>
        <w:t>.</w:t>
      </w:r>
    </w:p>
    <w:p w:rsidR="00FD4CBF" w:rsidRPr="00A40155" w:rsidRDefault="00FD4CBF" w:rsidP="00FD4CBF">
      <w:pPr>
        <w:ind w:firstLine="709"/>
        <w:jc w:val="both"/>
        <w:rPr>
          <w:sz w:val="28"/>
          <w:szCs w:val="28"/>
        </w:rPr>
      </w:pPr>
      <w:r w:rsidRPr="00A40155">
        <w:rPr>
          <w:sz w:val="28"/>
          <w:szCs w:val="28"/>
        </w:rPr>
        <w:t xml:space="preserve">2. Ввод расходного обязательства в ПК «Проект» начинается с заполнения поля «Дата документа». Для расходных обязательств, включаемых в реестр, в поле «Дата документа» ставится дата </w:t>
      </w:r>
      <w:r w:rsidR="00811DC8" w:rsidRPr="00A40155">
        <w:rPr>
          <w:sz w:val="28"/>
          <w:szCs w:val="28"/>
        </w:rPr>
        <w:t>0</w:t>
      </w:r>
      <w:r w:rsidRPr="00A40155">
        <w:rPr>
          <w:sz w:val="28"/>
          <w:szCs w:val="28"/>
        </w:rPr>
        <w:t>1.04.202</w:t>
      </w:r>
      <w:r w:rsidR="00895FD5" w:rsidRPr="00A40155">
        <w:rPr>
          <w:sz w:val="28"/>
          <w:szCs w:val="28"/>
        </w:rPr>
        <w:t>6</w:t>
      </w:r>
      <w:r w:rsidRPr="00A40155">
        <w:rPr>
          <w:sz w:val="28"/>
          <w:szCs w:val="28"/>
        </w:rPr>
        <w:t>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 w:rsidRPr="00A40155">
        <w:rPr>
          <w:sz w:val="28"/>
          <w:szCs w:val="28"/>
        </w:rPr>
        <w:t>3. Поле «Код ведомства» заполняется субъектом</w:t>
      </w:r>
      <w:r>
        <w:rPr>
          <w:sz w:val="28"/>
          <w:szCs w:val="28"/>
        </w:rPr>
        <w:t xml:space="preserve"> бюджетного планирования из справочника «Ведомство».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Поле «Порядковый номер» заполняется вручную в формате «ХХХ-</w:t>
      </w:r>
      <w:r>
        <w:rPr>
          <w:sz w:val="28"/>
          <w:szCs w:val="28"/>
          <w:lang w:val="en-US"/>
        </w:rPr>
        <w:t>NNN</w:t>
      </w:r>
      <w:r>
        <w:rPr>
          <w:sz w:val="28"/>
          <w:szCs w:val="28"/>
        </w:rPr>
        <w:t>», где «ХХХ» соответствует коду ведомства, «</w:t>
      </w:r>
      <w:r>
        <w:rPr>
          <w:sz w:val="28"/>
          <w:szCs w:val="28"/>
          <w:lang w:val="en-US"/>
        </w:rPr>
        <w:t>NNN</w:t>
      </w:r>
      <w:r>
        <w:rPr>
          <w:sz w:val="28"/>
          <w:szCs w:val="28"/>
        </w:rPr>
        <w:t xml:space="preserve">» − трехзначный порядковый номер (например, 803-001).  </w:t>
      </w:r>
    </w:p>
    <w:p w:rsidR="00FD4CBF" w:rsidRDefault="00FD4CBF" w:rsidP="00FD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В поле «Наименование» субъект бюджетного планирования указывает содержание расходного обязательства в произвольной форме исходя из краткого и однозначного определения (например, расходы на содержание Министерства указываются как «содержание аппарата Министерства»).</w:t>
      </w:r>
    </w:p>
    <w:p w:rsidR="00FD4CBF" w:rsidRDefault="00FD4CBF" w:rsidP="00FD4CB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 Поле «Код полномочия» заполняется субъектом бюджетного планирования путем выбора из справочника «Расходные полномочия». Справочник «Расходные полномочия» заполняется Министерством на основании примерного с</w:t>
      </w:r>
      <w:r>
        <w:rPr>
          <w:bCs/>
          <w:sz w:val="28"/>
          <w:szCs w:val="28"/>
        </w:rPr>
        <w:t xml:space="preserve">правочника кодов и наименований расходных обязательств для подготовки реестров расходных обязательств субъектов Российской Федерации, разработанного Министерством финансов Российской Федерации (далее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Минфин). В случае необходимости дополнения справочника «Расходные полномочия» субъект бюджетного планирования обращается в Министерство финансов.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В поле «Учреждение» указывается ИНН субъекта бюджетного планирования, по которому составляется расходное обязательство.</w:t>
      </w:r>
    </w:p>
    <w:p w:rsidR="00FD4CBF" w:rsidRDefault="00FD4CBF" w:rsidP="00FD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Нормативное правовое регулирование, определяющее финансовое обеспечение и порядок расходования средств, заполняется в части указания:</w:t>
      </w:r>
    </w:p>
    <w:p w:rsidR="00FD4CBF" w:rsidRDefault="00FD4CBF" w:rsidP="00FD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федеральных законов, указов Президента Российской Федерации, нормативных правовых актов Правительства Российской Федерации, в том числе государственных программ Российской Федерации, актов федеральных органов исполнительной власти, соглашений (договоров) Российской Федерации по предметам совместного ведения Российской Федерации и субъектов Российской Федерации;</w:t>
      </w:r>
    </w:p>
    <w:p w:rsidR="00FD4CBF" w:rsidRDefault="00FD4CBF" w:rsidP="00FD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областных законов и иных нормативных правовых актов Смоленской области.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правовое регулирование отражается субъектом бюджетного планирования во вкладке «Привязка НПА к РП», путем заполнения полей «Номер» и «Выписка».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 «Номер» заполняется из справочника «Нормативные правовые акты» путем выбора нормативного правового акта, устанавливающего расходное обязательство и (или) определяющего порядок их исполнения и финансового обеспечения.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Справочник «Нормативные правовые акты» ведется Министерством. При необходимости дополнения справочника «Нормативные правовые акты» новым документом субъект бюджетного планирования обращается в Министерство финансов.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 «Выписка» заполняется из справочника «Выписки из нормативных правовых актов». При отсутствии в справочнике необходимой выписки субъект бюджетного планирования дополняет указанный справочник самостоятельно.</w:t>
      </w:r>
    </w:p>
    <w:p w:rsidR="00FD4CBF" w:rsidRDefault="00FD4CBF" w:rsidP="00FD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Объем средств на исполнение расходного обязательства отражается во вкладке «Объемы средств», которая заполняется субъектами бюджетного планирования в разрезе бюджетной классификации. </w:t>
      </w:r>
      <w:r>
        <w:rPr>
          <w:b/>
          <w:sz w:val="28"/>
          <w:szCs w:val="28"/>
        </w:rPr>
        <w:t>Данные в числовые графы вводятся в тысячах рублей с одним знаком после запятой</w:t>
      </w:r>
      <w:r>
        <w:rPr>
          <w:sz w:val="28"/>
          <w:szCs w:val="28"/>
        </w:rPr>
        <w:t>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 При заполнении поля «Наименование суммы» необходимо выбрать из справочника нужные значения: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фонд оплаты труда (с разбивкой на средства федерального бюджета, областного бюджета, за счет иных безвозмездных поступлений);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взносы по обязательному социальному страхованию на выплаты по оплате труда (с разбивкой на средства федерального бюджета, областного бюджета, за счет иных безвозмездных поступлений).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иные расходы (суммы с разбивкой на средства федерального бюджета, областного бюджета, за счет иных безвозмездных поступлений, за исключением фонда оплаты труда и взносов по обязательному социальному страхованию на выплаты по оплате труда).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 Графа «Методика расчета БА» заполняется субъектом бюджетного планирования из справочника «Методики расчета расходных обязательств» на основании примененной методики.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 Средства федерального бюджета заносятся в реестр расходных обязательств в соответствии с кодами аналитических показателей из справочника «Дополнительная классификация». Коды региональной классификации расходов не заполняются.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9.4. Объем средств на исполнение расходного обязательства заполняется на отчетный финансовый год (план, факт), текущий финансовый год (план), очередной финансовый год (прогноз), плановый период (прогноз на два года), с указанием суммы расходов на осуществление капитальных вложений в объекты государственной (муниципальной) собственности в отдельных графах.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9.4.1. Суммы по графе «План 202</w:t>
      </w:r>
      <w:r w:rsidR="0046338B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 должны соответствовать уточненной бюджетной росписи расходов главного распорядителя средств областного бюджета за 202</w:t>
      </w:r>
      <w:r w:rsidR="0046338B">
        <w:rPr>
          <w:sz w:val="28"/>
          <w:szCs w:val="28"/>
        </w:rPr>
        <w:t>5</w:t>
      </w:r>
      <w:r>
        <w:rPr>
          <w:sz w:val="28"/>
          <w:szCs w:val="28"/>
        </w:rPr>
        <w:t xml:space="preserve"> год, суммы по графе «Факт 202</w:t>
      </w:r>
      <w:r w:rsidR="0046338B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 должны соответствовать графе «Исполнено»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на 1 января 202</w:t>
      </w:r>
      <w:r w:rsidR="0046338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(форма 0503127), сумма по графе «Факт 202</w:t>
      </w:r>
      <w:r w:rsidR="0046338B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 за счет средств федерального бюджета должна соответствовать информации Федерального казначейства по использованию субсидий, субвенций и иных межбюджетных трансфертов, имеющих целевое назначение.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9.4.2. Суммы по графе «202</w:t>
      </w:r>
      <w:r w:rsidR="0046338B">
        <w:rPr>
          <w:sz w:val="28"/>
          <w:szCs w:val="28"/>
        </w:rPr>
        <w:t>6</w:t>
      </w:r>
      <w:r>
        <w:rPr>
          <w:sz w:val="28"/>
          <w:szCs w:val="28"/>
        </w:rPr>
        <w:t xml:space="preserve"> год» (план) должны соответствовать бюджетной росписи расходов главного распорядителя средств областного бюджета по состоянию на 1 </w:t>
      </w:r>
      <w:r w:rsidR="00B6528F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46338B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9.4.3. Суммы по графам «202</w:t>
      </w:r>
      <w:r w:rsidR="0046338B">
        <w:rPr>
          <w:sz w:val="28"/>
          <w:szCs w:val="28"/>
        </w:rPr>
        <w:t>7</w:t>
      </w:r>
      <w:r>
        <w:rPr>
          <w:sz w:val="28"/>
          <w:szCs w:val="28"/>
        </w:rPr>
        <w:t xml:space="preserve"> год», «202</w:t>
      </w:r>
      <w:r w:rsidR="0046338B">
        <w:rPr>
          <w:sz w:val="28"/>
          <w:szCs w:val="28"/>
        </w:rPr>
        <w:t>8</w:t>
      </w:r>
      <w:r>
        <w:rPr>
          <w:sz w:val="28"/>
          <w:szCs w:val="28"/>
        </w:rPr>
        <w:t xml:space="preserve"> год» заполняются в соответствии с бюджетной росписью расходов главного распорядителя средств областного бюджета по состоянию на 1 </w:t>
      </w:r>
      <w:r w:rsidR="00B6528F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46338B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9.4.4. Суммы по графе «202</w:t>
      </w:r>
      <w:r w:rsidR="0046338B">
        <w:rPr>
          <w:sz w:val="28"/>
          <w:szCs w:val="28"/>
        </w:rPr>
        <w:t>9</w:t>
      </w:r>
      <w:r>
        <w:rPr>
          <w:sz w:val="28"/>
          <w:szCs w:val="28"/>
        </w:rPr>
        <w:t xml:space="preserve"> год» заполняется на уровне расходов 202</w:t>
      </w:r>
      <w:r w:rsidR="0046338B">
        <w:rPr>
          <w:sz w:val="28"/>
          <w:szCs w:val="28"/>
        </w:rPr>
        <w:t>8</w:t>
      </w:r>
      <w:r>
        <w:rPr>
          <w:sz w:val="28"/>
          <w:szCs w:val="28"/>
        </w:rPr>
        <w:t xml:space="preserve"> года. </w:t>
      </w:r>
      <w:r>
        <w:rPr>
          <w:b/>
          <w:sz w:val="28"/>
          <w:szCs w:val="28"/>
        </w:rPr>
        <w:t>Средства федерального бюджета на 202</w:t>
      </w:r>
      <w:r w:rsidR="0046338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 не отражаются.</w:t>
      </w:r>
    </w:p>
    <w:p w:rsidR="00FD4CBF" w:rsidRDefault="00FD4CBF" w:rsidP="00FD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 Графа «Методика расчета оценки» заполняется исходя из методики расчета оценки стоимости расходного обязательства, применяемой субъектом бюджетного планирования.</w:t>
      </w:r>
    </w:p>
    <w:p w:rsidR="00FD4CBF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 Графа «Оценка» заполняется исходя из оценки стоимости расходного обязательства на отчетный финансовый год, текущий финансовый год, очередной финансовый год, с указанием оценки стоимости расходов на осуществление капитальных вложений в объекты государственной (муниципальной) собственности в отдельных графах.</w:t>
      </w:r>
    </w:p>
    <w:p w:rsidR="006D6673" w:rsidRPr="00A40155" w:rsidRDefault="006D6673" w:rsidP="00FD4CBF">
      <w:pPr>
        <w:ind w:firstLine="709"/>
        <w:jc w:val="both"/>
        <w:rPr>
          <w:sz w:val="28"/>
          <w:szCs w:val="28"/>
        </w:rPr>
      </w:pPr>
      <w:r w:rsidRPr="00A40155">
        <w:rPr>
          <w:sz w:val="28"/>
          <w:szCs w:val="28"/>
        </w:rPr>
        <w:t>9.6.1. К расходам на осуществление капитальных вложений в объекты государственной (муниципальной) собственности относятся:</w:t>
      </w:r>
    </w:p>
    <w:p w:rsidR="009225B7" w:rsidRPr="00A40155" w:rsidRDefault="009225B7" w:rsidP="00922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155">
        <w:rPr>
          <w:sz w:val="28"/>
          <w:szCs w:val="28"/>
        </w:rPr>
        <w:t>- расходы, осуществляемые по видам расходов бюджетной классификации 400 «Капитальные вложения в объекты государственной (муниципальной) собственности» и 243 «Закупка товаров, работ, услуг в целях капитального ремонта государственного (муниципального) имущества», а также расходы, связанные с приобретением (изготовлением) объектов, относящихся к основным средствам, осуществляемые по видам расходов бюджетной классификации 200 «Закупка товаров, работ и услуг для обеспечения государственных (муниципальных) нужд», 300 «Социальное обеспечение и иные выплаты населению» и 880 «Специальные расходы», а также расходы автономных и бюджетных учреждений на приобретение (изготовление) объектов, относящихся к основным средствам, за счет средств субсидий, предоставляемых органами государственной власти субъекта Российской Федерации, по видам расходов бюджетной классификации 610 «Субсидии бюджетным учреждениям» и 620 «Субсидии автономным учреждениям»;</w:t>
      </w:r>
    </w:p>
    <w:p w:rsidR="009225B7" w:rsidRPr="00A40155" w:rsidRDefault="009225B7" w:rsidP="00922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155">
        <w:rPr>
          <w:sz w:val="28"/>
          <w:szCs w:val="28"/>
        </w:rPr>
        <w:t>- расходы на закупку автономными и бюджетными учреждениями товаров, работ, услуг в целях капитального ремонта государственного (муниципального) имущества за счет средств субсидий, предоставляемых органами государственной власти субъекта Российской Федерации по видам расходов бюджетной классификации 610 «Субсидии бюджетным учреждениям» и 620 «Субсидии автономным учреждениям»;</w:t>
      </w:r>
    </w:p>
    <w:p w:rsidR="009225B7" w:rsidRPr="009225B7" w:rsidRDefault="009225B7" w:rsidP="00922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155">
        <w:rPr>
          <w:sz w:val="28"/>
          <w:szCs w:val="28"/>
        </w:rPr>
        <w:t>- расходы, осуществляемые по видам расходов бюджетной классификации 815 «Субсидии юридическим лицам на осуществление капитальных вложений в объекты недвижимого имущества», а также расходы государственных корпораций (компаний), публично-правовых компаний, направленные на осуществление капитальных вложений за счет субсидий, предоставляемых из бюджета субъекта Российской Федерации  по виду расходов бюджетной классификации 824 «Субсидии государственным корпорациям (компаниям), публично-правовым компаниям на иные цели».</w:t>
      </w:r>
    </w:p>
    <w:p w:rsidR="00FD4CBF" w:rsidRDefault="00FD4CBF" w:rsidP="00FD4C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9.7. Расходные обязательства по предоставлению межбюджетных трансфертов бюджетам муниципальных образований Смоленской области отражаются по разделу 3 «Расходные обязательства, возникшие в результате принятия нормативных правовых актов субъекта Российской Федерации, предусматривающих предоставление из бюджета субъекта Российской Федерации межбюджетных трансфертов» (не дублируя в других разделах) отдельно по каждому виду финансовой помощи (субсидии, субвенции (в том числе из федерального бюджета), иные межбюджетные трансферты) и в разрезе каждого межбюджетного трансферта с привязкой к нормативному правовому акту, его устанавливающему.</w:t>
      </w:r>
    </w:p>
    <w:p w:rsidR="00FD4CBF" w:rsidRDefault="00FD4CBF" w:rsidP="00FD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Объемы средств на финансовое обеспечение расходных обязательств, возникших в результате принятия указов Президента Российской Федерации, а также в ходе реализации государственных программ Российской Федерации, указывается в реестре справочно отдельными суммами во вкладке «Указы и ГП».</w:t>
      </w:r>
    </w:p>
    <w:p w:rsidR="00FD4CBF" w:rsidRDefault="00FD4CBF" w:rsidP="00FD4CBF">
      <w:pPr>
        <w:ind w:firstLine="709"/>
        <w:jc w:val="both"/>
        <w:rPr>
          <w:rFonts w:eastAsia="Calibri"/>
          <w:sz w:val="28"/>
        </w:rPr>
      </w:pPr>
      <w:r>
        <w:rPr>
          <w:sz w:val="28"/>
          <w:szCs w:val="28"/>
        </w:rPr>
        <w:t xml:space="preserve">Перечень указов Президента Российской Федерации и государственных </w:t>
      </w:r>
      <w:r w:rsidRPr="005879F4">
        <w:rPr>
          <w:sz w:val="28"/>
          <w:szCs w:val="28"/>
        </w:rPr>
        <w:t>программ Российской Федерации определен п</w:t>
      </w:r>
      <w:r w:rsidRPr="005879F4">
        <w:rPr>
          <w:rFonts w:eastAsia="Calibri"/>
          <w:sz w:val="28"/>
        </w:rPr>
        <w:t>риложениями № 3 и 4 к</w:t>
      </w:r>
      <w:r>
        <w:rPr>
          <w:rFonts w:eastAsia="Calibri"/>
          <w:sz w:val="28"/>
        </w:rPr>
        <w:t xml:space="preserve"> Рекомендациям по заполнению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Федерации.</w:t>
      </w:r>
    </w:p>
    <w:p w:rsidR="00304557" w:rsidRDefault="00FD4CBF" w:rsidP="00FD4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После ввода всей необходимой информации, перечисленной выше, необходимо сохранить введенные данные и установить статус документа «</w:t>
      </w:r>
      <w:r>
        <w:rPr>
          <w:b/>
          <w:sz w:val="28"/>
          <w:szCs w:val="28"/>
        </w:rPr>
        <w:t>На утверждении (введен)</w:t>
      </w:r>
      <w:r>
        <w:rPr>
          <w:sz w:val="28"/>
          <w:szCs w:val="28"/>
        </w:rPr>
        <w:t>».</w:t>
      </w:r>
    </w:p>
    <w:p w:rsidR="00304557" w:rsidRDefault="00304557" w:rsidP="0078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sectPr w:rsidR="00304557" w:rsidSect="0085634E">
      <w:headerReference w:type="default" r:id="rId11"/>
      <w:headerReference w:type="first" r:id="rId12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2E" w:rsidRDefault="00E57A2E" w:rsidP="008546A9">
      <w:r>
        <w:separator/>
      </w:r>
    </w:p>
  </w:endnote>
  <w:endnote w:type="continuationSeparator" w:id="0">
    <w:p w:rsidR="00E57A2E" w:rsidRDefault="00E57A2E" w:rsidP="0085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2E" w:rsidRDefault="00E57A2E" w:rsidP="008546A9">
      <w:r>
        <w:separator/>
      </w:r>
    </w:p>
  </w:footnote>
  <w:footnote w:type="continuationSeparator" w:id="0">
    <w:p w:rsidR="00E57A2E" w:rsidRDefault="00E57A2E" w:rsidP="00854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119265"/>
      <w:docPartObj>
        <w:docPartGallery w:val="Page Numbers (Top of Page)"/>
        <w:docPartUnique/>
      </w:docPartObj>
    </w:sdtPr>
    <w:sdtEndPr/>
    <w:sdtContent>
      <w:p w:rsidR="00813A38" w:rsidRDefault="00813A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4CC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CC" w:rsidRDefault="003554CC" w:rsidP="003554CC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27A8"/>
    <w:multiLevelType w:val="hybridMultilevel"/>
    <w:tmpl w:val="C3D2F6F2"/>
    <w:lvl w:ilvl="0" w:tplc="CB08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A8"/>
    <w:rsid w:val="00012F35"/>
    <w:rsid w:val="00043C49"/>
    <w:rsid w:val="0005596F"/>
    <w:rsid w:val="00056281"/>
    <w:rsid w:val="00063065"/>
    <w:rsid w:val="00072B56"/>
    <w:rsid w:val="00075388"/>
    <w:rsid w:val="000816EA"/>
    <w:rsid w:val="000833A1"/>
    <w:rsid w:val="00087918"/>
    <w:rsid w:val="000936A6"/>
    <w:rsid w:val="00096CE2"/>
    <w:rsid w:val="000A40B1"/>
    <w:rsid w:val="000B0A21"/>
    <w:rsid w:val="000C0EE1"/>
    <w:rsid w:val="000C43C2"/>
    <w:rsid w:val="000C4C43"/>
    <w:rsid w:val="000C5CA3"/>
    <w:rsid w:val="000D1E9A"/>
    <w:rsid w:val="00105EBB"/>
    <w:rsid w:val="001107B8"/>
    <w:rsid w:val="00113045"/>
    <w:rsid w:val="00132270"/>
    <w:rsid w:val="0013637F"/>
    <w:rsid w:val="00141758"/>
    <w:rsid w:val="00146D2E"/>
    <w:rsid w:val="001537CC"/>
    <w:rsid w:val="001541B3"/>
    <w:rsid w:val="00170ECF"/>
    <w:rsid w:val="00173149"/>
    <w:rsid w:val="00174BEA"/>
    <w:rsid w:val="00184B79"/>
    <w:rsid w:val="00195C1E"/>
    <w:rsid w:val="001A5B2E"/>
    <w:rsid w:val="001B32A7"/>
    <w:rsid w:val="001D0DB4"/>
    <w:rsid w:val="001D1557"/>
    <w:rsid w:val="001E259B"/>
    <w:rsid w:val="001E318E"/>
    <w:rsid w:val="001E5A79"/>
    <w:rsid w:val="00200551"/>
    <w:rsid w:val="00223BBE"/>
    <w:rsid w:val="00231E87"/>
    <w:rsid w:val="00234EB0"/>
    <w:rsid w:val="00236606"/>
    <w:rsid w:val="0023685A"/>
    <w:rsid w:val="0025020C"/>
    <w:rsid w:val="00250F3E"/>
    <w:rsid w:val="002625BD"/>
    <w:rsid w:val="00273291"/>
    <w:rsid w:val="0029124C"/>
    <w:rsid w:val="00291A4D"/>
    <w:rsid w:val="00292510"/>
    <w:rsid w:val="002955E4"/>
    <w:rsid w:val="00297CAC"/>
    <w:rsid w:val="002B01F8"/>
    <w:rsid w:val="002B3059"/>
    <w:rsid w:val="002C0D79"/>
    <w:rsid w:val="002C7154"/>
    <w:rsid w:val="002E4C3D"/>
    <w:rsid w:val="002F5845"/>
    <w:rsid w:val="002F6F66"/>
    <w:rsid w:val="002F7F1C"/>
    <w:rsid w:val="00301930"/>
    <w:rsid w:val="00304557"/>
    <w:rsid w:val="00311351"/>
    <w:rsid w:val="00313A13"/>
    <w:rsid w:val="00330C8C"/>
    <w:rsid w:val="0033162D"/>
    <w:rsid w:val="00340989"/>
    <w:rsid w:val="0035545C"/>
    <w:rsid w:val="003554CC"/>
    <w:rsid w:val="003628BA"/>
    <w:rsid w:val="00373D05"/>
    <w:rsid w:val="00373FD2"/>
    <w:rsid w:val="00374C8B"/>
    <w:rsid w:val="00386F04"/>
    <w:rsid w:val="00390404"/>
    <w:rsid w:val="00396F29"/>
    <w:rsid w:val="003C68A3"/>
    <w:rsid w:val="003C7FBA"/>
    <w:rsid w:val="003F3535"/>
    <w:rsid w:val="00401F05"/>
    <w:rsid w:val="004030F6"/>
    <w:rsid w:val="00421EA2"/>
    <w:rsid w:val="00453437"/>
    <w:rsid w:val="00456B25"/>
    <w:rsid w:val="0046338B"/>
    <w:rsid w:val="0046791B"/>
    <w:rsid w:val="0047175E"/>
    <w:rsid w:val="00473183"/>
    <w:rsid w:val="00483678"/>
    <w:rsid w:val="00495F8E"/>
    <w:rsid w:val="004A405D"/>
    <w:rsid w:val="004B1037"/>
    <w:rsid w:val="004B1B40"/>
    <w:rsid w:val="004C0A22"/>
    <w:rsid w:val="004C1040"/>
    <w:rsid w:val="004C164B"/>
    <w:rsid w:val="004D17F2"/>
    <w:rsid w:val="004D4D99"/>
    <w:rsid w:val="004D5D6E"/>
    <w:rsid w:val="004F4D5B"/>
    <w:rsid w:val="0050070D"/>
    <w:rsid w:val="00514255"/>
    <w:rsid w:val="0052014D"/>
    <w:rsid w:val="005371BB"/>
    <w:rsid w:val="00560D18"/>
    <w:rsid w:val="00564F5F"/>
    <w:rsid w:val="005655F3"/>
    <w:rsid w:val="00575798"/>
    <w:rsid w:val="00576829"/>
    <w:rsid w:val="0057790F"/>
    <w:rsid w:val="00592B60"/>
    <w:rsid w:val="00597A5B"/>
    <w:rsid w:val="005A3651"/>
    <w:rsid w:val="005A4406"/>
    <w:rsid w:val="005B2386"/>
    <w:rsid w:val="005B47C4"/>
    <w:rsid w:val="005B668D"/>
    <w:rsid w:val="005C10B0"/>
    <w:rsid w:val="005C2E2E"/>
    <w:rsid w:val="005C4066"/>
    <w:rsid w:val="005C6792"/>
    <w:rsid w:val="005D02D2"/>
    <w:rsid w:val="005D0EDD"/>
    <w:rsid w:val="005D3F94"/>
    <w:rsid w:val="005D65F7"/>
    <w:rsid w:val="005D6D7C"/>
    <w:rsid w:val="0060031F"/>
    <w:rsid w:val="00600F22"/>
    <w:rsid w:val="00620DA8"/>
    <w:rsid w:val="00625C9F"/>
    <w:rsid w:val="00632C87"/>
    <w:rsid w:val="00634502"/>
    <w:rsid w:val="00645346"/>
    <w:rsid w:val="0065059D"/>
    <w:rsid w:val="0067095A"/>
    <w:rsid w:val="006C0D1C"/>
    <w:rsid w:val="006D624B"/>
    <w:rsid w:val="006D6673"/>
    <w:rsid w:val="006D66E8"/>
    <w:rsid w:val="0072701A"/>
    <w:rsid w:val="00740A05"/>
    <w:rsid w:val="00751B83"/>
    <w:rsid w:val="00760589"/>
    <w:rsid w:val="00765E64"/>
    <w:rsid w:val="00770070"/>
    <w:rsid w:val="007818A8"/>
    <w:rsid w:val="007965E0"/>
    <w:rsid w:val="007B40AA"/>
    <w:rsid w:val="007C23DC"/>
    <w:rsid w:val="007C3417"/>
    <w:rsid w:val="007C74AB"/>
    <w:rsid w:val="007D15A5"/>
    <w:rsid w:val="007D1D9D"/>
    <w:rsid w:val="007D3A9C"/>
    <w:rsid w:val="007E299E"/>
    <w:rsid w:val="007E405E"/>
    <w:rsid w:val="007F7E2C"/>
    <w:rsid w:val="00800877"/>
    <w:rsid w:val="00803606"/>
    <w:rsid w:val="0080367F"/>
    <w:rsid w:val="00805599"/>
    <w:rsid w:val="00811DC8"/>
    <w:rsid w:val="00813A38"/>
    <w:rsid w:val="00823F48"/>
    <w:rsid w:val="00843AFC"/>
    <w:rsid w:val="008546A9"/>
    <w:rsid w:val="00854F31"/>
    <w:rsid w:val="0085634E"/>
    <w:rsid w:val="008570DC"/>
    <w:rsid w:val="00860B77"/>
    <w:rsid w:val="00872902"/>
    <w:rsid w:val="008811CE"/>
    <w:rsid w:val="00882BC1"/>
    <w:rsid w:val="0088613D"/>
    <w:rsid w:val="00895FD5"/>
    <w:rsid w:val="008A2408"/>
    <w:rsid w:val="008A6075"/>
    <w:rsid w:val="008B38AD"/>
    <w:rsid w:val="008B667E"/>
    <w:rsid w:val="008D66C6"/>
    <w:rsid w:val="008F3378"/>
    <w:rsid w:val="008F4312"/>
    <w:rsid w:val="0090148B"/>
    <w:rsid w:val="009027FE"/>
    <w:rsid w:val="00920C58"/>
    <w:rsid w:val="009225B7"/>
    <w:rsid w:val="0093266D"/>
    <w:rsid w:val="0094471A"/>
    <w:rsid w:val="00945FC9"/>
    <w:rsid w:val="00946864"/>
    <w:rsid w:val="00954B0F"/>
    <w:rsid w:val="0096479F"/>
    <w:rsid w:val="00970AD7"/>
    <w:rsid w:val="009717CA"/>
    <w:rsid w:val="00976B34"/>
    <w:rsid w:val="009A77F5"/>
    <w:rsid w:val="009B257D"/>
    <w:rsid w:val="009B5E01"/>
    <w:rsid w:val="009B601E"/>
    <w:rsid w:val="009C2849"/>
    <w:rsid w:val="009C4C53"/>
    <w:rsid w:val="009C6452"/>
    <w:rsid w:val="009F5017"/>
    <w:rsid w:val="00A07D1F"/>
    <w:rsid w:val="00A10E7C"/>
    <w:rsid w:val="00A139B8"/>
    <w:rsid w:val="00A15986"/>
    <w:rsid w:val="00A266AF"/>
    <w:rsid w:val="00A40155"/>
    <w:rsid w:val="00A439A8"/>
    <w:rsid w:val="00A46A9C"/>
    <w:rsid w:val="00A654E7"/>
    <w:rsid w:val="00A736AB"/>
    <w:rsid w:val="00A7686C"/>
    <w:rsid w:val="00A93029"/>
    <w:rsid w:val="00AA5852"/>
    <w:rsid w:val="00AB48F6"/>
    <w:rsid w:val="00AB64A4"/>
    <w:rsid w:val="00AD44B1"/>
    <w:rsid w:val="00AD7826"/>
    <w:rsid w:val="00AE0771"/>
    <w:rsid w:val="00B0468B"/>
    <w:rsid w:val="00B128CA"/>
    <w:rsid w:val="00B16A49"/>
    <w:rsid w:val="00B203BD"/>
    <w:rsid w:val="00B2657F"/>
    <w:rsid w:val="00B26AEF"/>
    <w:rsid w:val="00B27E27"/>
    <w:rsid w:val="00B3412E"/>
    <w:rsid w:val="00B407C5"/>
    <w:rsid w:val="00B44BC0"/>
    <w:rsid w:val="00B6528F"/>
    <w:rsid w:val="00B8004E"/>
    <w:rsid w:val="00B86A44"/>
    <w:rsid w:val="00B95F25"/>
    <w:rsid w:val="00BB5E74"/>
    <w:rsid w:val="00BB7D6C"/>
    <w:rsid w:val="00BC0975"/>
    <w:rsid w:val="00BC4AAF"/>
    <w:rsid w:val="00BC50A5"/>
    <w:rsid w:val="00BD2A75"/>
    <w:rsid w:val="00BF0E44"/>
    <w:rsid w:val="00BF18A7"/>
    <w:rsid w:val="00BF44DA"/>
    <w:rsid w:val="00BF6899"/>
    <w:rsid w:val="00C07CA1"/>
    <w:rsid w:val="00C329E7"/>
    <w:rsid w:val="00C338BC"/>
    <w:rsid w:val="00C552D2"/>
    <w:rsid w:val="00C67433"/>
    <w:rsid w:val="00C84E5B"/>
    <w:rsid w:val="00C95C58"/>
    <w:rsid w:val="00C96239"/>
    <w:rsid w:val="00CB126C"/>
    <w:rsid w:val="00CB5907"/>
    <w:rsid w:val="00CC22A4"/>
    <w:rsid w:val="00CD0CB9"/>
    <w:rsid w:val="00CF0651"/>
    <w:rsid w:val="00CF09B7"/>
    <w:rsid w:val="00CF0EC0"/>
    <w:rsid w:val="00CF3DF5"/>
    <w:rsid w:val="00CF61C0"/>
    <w:rsid w:val="00D17908"/>
    <w:rsid w:val="00D246D8"/>
    <w:rsid w:val="00D3367C"/>
    <w:rsid w:val="00D46803"/>
    <w:rsid w:val="00D65039"/>
    <w:rsid w:val="00D70356"/>
    <w:rsid w:val="00D84F0D"/>
    <w:rsid w:val="00D87AA1"/>
    <w:rsid w:val="00D965FB"/>
    <w:rsid w:val="00D968BA"/>
    <w:rsid w:val="00DA2B5B"/>
    <w:rsid w:val="00DA2BAD"/>
    <w:rsid w:val="00DD212A"/>
    <w:rsid w:val="00DE3F07"/>
    <w:rsid w:val="00DE4321"/>
    <w:rsid w:val="00DE53D4"/>
    <w:rsid w:val="00E03F0C"/>
    <w:rsid w:val="00E10521"/>
    <w:rsid w:val="00E10EF2"/>
    <w:rsid w:val="00E27CAD"/>
    <w:rsid w:val="00E329FC"/>
    <w:rsid w:val="00E34C2D"/>
    <w:rsid w:val="00E47A02"/>
    <w:rsid w:val="00E52F01"/>
    <w:rsid w:val="00E57A2E"/>
    <w:rsid w:val="00E84191"/>
    <w:rsid w:val="00E90044"/>
    <w:rsid w:val="00E91336"/>
    <w:rsid w:val="00EA3C6C"/>
    <w:rsid w:val="00EA4F95"/>
    <w:rsid w:val="00EB13C6"/>
    <w:rsid w:val="00EB403E"/>
    <w:rsid w:val="00EB6412"/>
    <w:rsid w:val="00EC12FC"/>
    <w:rsid w:val="00EC39D6"/>
    <w:rsid w:val="00ED27E8"/>
    <w:rsid w:val="00ED735D"/>
    <w:rsid w:val="00EE0DB5"/>
    <w:rsid w:val="00EE43F1"/>
    <w:rsid w:val="00EF111F"/>
    <w:rsid w:val="00F01748"/>
    <w:rsid w:val="00F07B66"/>
    <w:rsid w:val="00F37665"/>
    <w:rsid w:val="00F42537"/>
    <w:rsid w:val="00F43E9E"/>
    <w:rsid w:val="00F512FD"/>
    <w:rsid w:val="00F60754"/>
    <w:rsid w:val="00F62C36"/>
    <w:rsid w:val="00F9470A"/>
    <w:rsid w:val="00FC4F2A"/>
    <w:rsid w:val="00FD4CBF"/>
    <w:rsid w:val="00F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43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9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9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D6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968BA"/>
    <w:pPr>
      <w:ind w:left="720"/>
      <w:contextualSpacing/>
    </w:pPr>
  </w:style>
  <w:style w:type="table" w:styleId="a6">
    <w:name w:val="Table Grid"/>
    <w:basedOn w:val="a1"/>
    <w:uiPriority w:val="59"/>
    <w:rsid w:val="0025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"/>
    <w:basedOn w:val="a"/>
    <w:rsid w:val="00174B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8546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46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2E4C3D"/>
    <w:rPr>
      <w:color w:val="0000FF"/>
      <w:u w:val="single"/>
    </w:rPr>
  </w:style>
  <w:style w:type="paragraph" w:styleId="ad">
    <w:name w:val="No Spacing"/>
    <w:uiPriority w:val="1"/>
    <w:qFormat/>
    <w:rsid w:val="005D02D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3554CC"/>
    <w:pPr>
      <w:spacing w:before="120" w:after="120"/>
      <w:jc w:val="center"/>
    </w:pPr>
    <w:rPr>
      <w:rFonts w:eastAsia="Arial Unicode MS"/>
      <w:b/>
      <w:sz w:val="28"/>
    </w:rPr>
  </w:style>
  <w:style w:type="character" w:customStyle="1" w:styleId="af">
    <w:name w:val="Основной текст Знак"/>
    <w:basedOn w:val="a0"/>
    <w:link w:val="ae"/>
    <w:rsid w:val="003554CC"/>
    <w:rPr>
      <w:rFonts w:ascii="Times New Roman" w:eastAsia="Arial Unicode MS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43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9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9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D6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968BA"/>
    <w:pPr>
      <w:ind w:left="720"/>
      <w:contextualSpacing/>
    </w:pPr>
  </w:style>
  <w:style w:type="table" w:styleId="a6">
    <w:name w:val="Table Grid"/>
    <w:basedOn w:val="a1"/>
    <w:uiPriority w:val="59"/>
    <w:rsid w:val="0025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"/>
    <w:basedOn w:val="a"/>
    <w:rsid w:val="00174B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8546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46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2E4C3D"/>
    <w:rPr>
      <w:color w:val="0000FF"/>
      <w:u w:val="single"/>
    </w:rPr>
  </w:style>
  <w:style w:type="paragraph" w:styleId="ad">
    <w:name w:val="No Spacing"/>
    <w:uiPriority w:val="1"/>
    <w:qFormat/>
    <w:rsid w:val="005D02D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3554CC"/>
    <w:pPr>
      <w:spacing w:before="120" w:after="120"/>
      <w:jc w:val="center"/>
    </w:pPr>
    <w:rPr>
      <w:rFonts w:eastAsia="Arial Unicode MS"/>
      <w:b/>
      <w:sz w:val="28"/>
    </w:rPr>
  </w:style>
  <w:style w:type="character" w:customStyle="1" w:styleId="af">
    <w:name w:val="Основной текст Знак"/>
    <w:basedOn w:val="a0"/>
    <w:link w:val="ae"/>
    <w:rsid w:val="003554CC"/>
    <w:rPr>
      <w:rFonts w:ascii="Times New Roman" w:eastAsia="Arial Unicode MS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1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finsmol.ru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F1"/>
    <w:rsid w:val="006B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C8583CF8594417B0F505D45C30695F">
    <w:name w:val="13C8583CF8594417B0F505D45C30695F"/>
    <w:rsid w:val="006B61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C8583CF8594417B0F505D45C30695F">
    <w:name w:val="13C8583CF8594417B0F505D45C30695F"/>
    <w:rsid w:val="006B6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D0A8F-181F-4A6F-B392-4EBAC81E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Березовская Ольга Валентиновна</dc:creator>
  <cp:lastModifiedBy>Крупская Ирина Петровна</cp:lastModifiedBy>
  <cp:revision>2</cp:revision>
  <cp:lastPrinted>2026-03-12T09:32:00Z</cp:lastPrinted>
  <dcterms:created xsi:type="dcterms:W3CDTF">2026-03-12T11:27:00Z</dcterms:created>
  <dcterms:modified xsi:type="dcterms:W3CDTF">2026-03-12T11:27:00Z</dcterms:modified>
</cp:coreProperties>
</file>