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633" w:rsidRPr="00FC02F8" w:rsidRDefault="00742633">
      <w:pPr>
        <w:pStyle w:val="ConsPlusNormal"/>
        <w:jc w:val="both"/>
        <w:outlineLvl w:val="0"/>
        <w:rPr>
          <w:sz w:val="18"/>
        </w:rPr>
      </w:pPr>
      <w:bookmarkStart w:id="0" w:name="_GoBack"/>
      <w:bookmarkEnd w:id="0"/>
    </w:p>
    <w:p w:rsidR="00FC02F8" w:rsidRPr="00FC02F8" w:rsidRDefault="00742633" w:rsidP="00FC02F8">
      <w:pPr>
        <w:pStyle w:val="a3"/>
        <w:ind w:firstLine="709"/>
        <w:jc w:val="right"/>
        <w:rPr>
          <w:rFonts w:ascii="Times New Roman" w:hAnsi="Times New Roman" w:cs="Times New Roman"/>
          <w:sz w:val="28"/>
        </w:rPr>
      </w:pPr>
      <w:r w:rsidRPr="00FC02F8">
        <w:rPr>
          <w:rFonts w:ascii="Times New Roman" w:hAnsi="Times New Roman" w:cs="Times New Roman"/>
          <w:sz w:val="28"/>
        </w:rPr>
        <w:t>Утвержден</w:t>
      </w:r>
      <w:r w:rsidR="008110DE">
        <w:rPr>
          <w:rFonts w:ascii="Times New Roman" w:hAnsi="Times New Roman" w:cs="Times New Roman"/>
          <w:sz w:val="28"/>
        </w:rPr>
        <w:t>о</w:t>
      </w:r>
      <w:r w:rsidRPr="00FC02F8">
        <w:rPr>
          <w:rFonts w:ascii="Times New Roman" w:hAnsi="Times New Roman" w:cs="Times New Roman"/>
          <w:sz w:val="28"/>
        </w:rPr>
        <w:t xml:space="preserve"> областным законом </w:t>
      </w:r>
    </w:p>
    <w:p w:rsidR="00FC02F8" w:rsidRPr="00FC02F8" w:rsidRDefault="00742633" w:rsidP="00FC02F8">
      <w:pPr>
        <w:pStyle w:val="a3"/>
        <w:ind w:firstLine="709"/>
        <w:jc w:val="right"/>
        <w:rPr>
          <w:rFonts w:ascii="Times New Roman" w:hAnsi="Times New Roman" w:cs="Times New Roman"/>
          <w:sz w:val="28"/>
        </w:rPr>
      </w:pPr>
      <w:r w:rsidRPr="00FC02F8">
        <w:rPr>
          <w:rFonts w:ascii="Times New Roman" w:hAnsi="Times New Roman" w:cs="Times New Roman"/>
          <w:sz w:val="28"/>
        </w:rPr>
        <w:t>от 29.09.2005 № 87-з</w:t>
      </w:r>
      <w:r w:rsidR="00FC02F8" w:rsidRPr="00FC02F8">
        <w:rPr>
          <w:rFonts w:ascii="Times New Roman" w:hAnsi="Times New Roman" w:cs="Times New Roman"/>
          <w:sz w:val="28"/>
        </w:rPr>
        <w:t xml:space="preserve"> </w:t>
      </w:r>
      <w:r w:rsidRPr="00FC02F8">
        <w:rPr>
          <w:rFonts w:ascii="Times New Roman" w:hAnsi="Times New Roman" w:cs="Times New Roman"/>
          <w:sz w:val="28"/>
        </w:rPr>
        <w:t xml:space="preserve">«О межбюджетных </w:t>
      </w:r>
    </w:p>
    <w:p w:rsidR="00742633" w:rsidRPr="00FC02F8" w:rsidRDefault="00742633" w:rsidP="00FC02F8">
      <w:pPr>
        <w:pStyle w:val="a3"/>
        <w:ind w:firstLine="709"/>
        <w:jc w:val="right"/>
        <w:rPr>
          <w:rFonts w:ascii="Times New Roman" w:hAnsi="Times New Roman" w:cs="Times New Roman"/>
          <w:sz w:val="28"/>
        </w:rPr>
      </w:pPr>
      <w:r w:rsidRPr="00FC02F8">
        <w:rPr>
          <w:rFonts w:ascii="Times New Roman" w:hAnsi="Times New Roman" w:cs="Times New Roman"/>
          <w:sz w:val="28"/>
        </w:rPr>
        <w:t>отношениях в Смоленской области»</w:t>
      </w:r>
    </w:p>
    <w:p w:rsidR="00742633" w:rsidRPr="00742633" w:rsidRDefault="00742633">
      <w:pPr>
        <w:pStyle w:val="ConsPlusNormal"/>
        <w:jc w:val="both"/>
      </w:pPr>
    </w:p>
    <w:p w:rsidR="00742633" w:rsidRPr="00742633" w:rsidRDefault="00742633">
      <w:pPr>
        <w:pStyle w:val="ConsPlusNormal"/>
        <w:jc w:val="both"/>
      </w:pPr>
    </w:p>
    <w:p w:rsidR="00742633" w:rsidRPr="00742633" w:rsidRDefault="00742633">
      <w:pPr>
        <w:pStyle w:val="ConsPlusNormal"/>
        <w:jc w:val="both"/>
      </w:pPr>
    </w:p>
    <w:p w:rsidR="00742633" w:rsidRPr="00742633" w:rsidRDefault="0074263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Приложение 3</w:t>
      </w:r>
    </w:p>
    <w:p w:rsidR="00742633" w:rsidRPr="00742633" w:rsidRDefault="007426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742633" w:rsidRPr="00742633" w:rsidRDefault="007426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"О межбюджетных отношениях</w:t>
      </w:r>
    </w:p>
    <w:p w:rsidR="00742633" w:rsidRPr="00742633" w:rsidRDefault="007426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в Смоленской области"</w:t>
      </w:r>
    </w:p>
    <w:p w:rsidR="00E61203" w:rsidRDefault="00E61203" w:rsidP="00E612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ПОРЯДОК И МЕТОДИКА</w:t>
      </w:r>
    </w:p>
    <w:p w:rsidR="00742633" w:rsidRPr="00742633" w:rsidRDefault="007426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РАСПРЕДЕЛЕНИЯ ДОТАЦИЙ НА ВЫРАВНИВАНИЕ БЮДЖЕТНОЙ</w:t>
      </w:r>
    </w:p>
    <w:p w:rsidR="00742633" w:rsidRPr="00742633" w:rsidRDefault="00742633" w:rsidP="007426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ОБЕСПЕЧЕННОСТИ МУНИЦИПАЛЬНЫХ РАЙОНОВ (ГОРОДСКИХ ОКРУГОВ), А ТАКЖЕ ПОРЯДОК ОПРЕДЕЛЕНИЯ КРИТЕРИЯ ВЫРАВНИВАНИЯ РАСЧЕТНОЙ БЮДЖЕТНОЙ ОБЕСПЕЧЕННОСТИ МУНИЦИПАЛЬНЫХ РАЙОНОВ (ГОРОДСКИХ ОКРУГОВ)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Раздел 1. ОСНОВНЫЕ ТЕРМИНЫ И ПОНЯТИЯ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муниципального района Смоленской области (городского округа Смоленской области) (далее - муниципальный район (городской округ)) - отношение индекса налогового потенциала к индексу бюджетных расходов муниципального района (городского округа).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Индекс налогового потенциала муниципального района (городского округа) - отношение налогового потенциала муниципального района (городского округа) в расчете на одного жителя к аналогичному показателю в среднем по всем муниципальным районам (городским округам).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Налоговый потенциал муниципального района (городского округа) - оценка налоговых доходов, которые могут быть получены бюджетом муниципального района (городского округа) исходя из уровня развития и структуры экономики и (или) налоговой базы из налоговых источников, закрепленных за этим муниципальным районом (городским округом).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Индекс бюджетных расходов муниципального района (городского округа) - показатель, определяющий, насколько больше (меньше) средств бюджета муниципального района (городского округа) в расчете на одного жителя по сравнению со средним по всем муниципальным районам (городским округам) уровнем необходимо затратить для осуществления полномочий по решению вопросов местного значения муниципального района (городского округа) с учетом специфики социально-демографического состава обслуживаемого населения и иных объективных факторов, влияющих на стоимость предоставления муниципальных услуг в расчете на одного жителя.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868" w:rsidRPr="00742633" w:rsidRDefault="00FB78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Раздел 2. ОПРЕДЕЛЕНИЕ УРОВНЯ РАСЧЕТНОЙ БЮДЖЕТНОЙ</w:t>
      </w:r>
    </w:p>
    <w:p w:rsidR="00742633" w:rsidRPr="00742633" w:rsidRDefault="007426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ОБЕСПЕЧЕННОСТИ МУНИЦИПАЛЬНОГО РАЙОНА (ГОРОДСКОГО ОКРУГА)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муниципального района (городского округа) рассчитывается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БО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ИБР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>, где: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БО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индекс налогового потенциала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ИБР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индекс бюджетных расходов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округа).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Подраздел 2.1. РАСЧЕТ ИНДЕКСА НАЛОГОВОГО ПОТЕНЦИАЛА</w:t>
      </w:r>
    </w:p>
    <w:p w:rsidR="00742633" w:rsidRPr="00742633" w:rsidRDefault="007426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Индекс налогового потенциала муниципального района (городского округа) рассчитывается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>) / (НП / Н), где: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индекс налогового потенциала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налоговый потенциал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численность жителей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округа). Указанная численность жителей определяется в соответствии с </w:t>
      </w:r>
      <w:hyperlink r:id="rId6">
        <w:r w:rsidRPr="00742633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НП - суммарный налоговый потенциал всех муниципальных районов (городских округов);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Н - численность жителей всех муниципальных районов (городских округов).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Расчет налогового потенциала муниципального района (городского округа) производится по репрезентативной системе налогов в разрезе отдельных налогов исходя из показателей уровня экономического развития (налоговой базы) муниципального района (городского округа), прогноза поступлений налогов с территории всех муниципальных районов (городских округов) в консолидированный бюджет Смоленской области, а также соответствующих нормативов отчислений от налогов в бюджеты муниципальных районов (городских округов).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 xml:space="preserve">Репрезентативная система налогов включает основные налоги, зачисляемые в бюджеты муниципальных районов (городских округов), и отражает доходные возможности муниципальных районов (городских округов), которые учитываются </w:t>
      </w:r>
      <w:r w:rsidRPr="00742633">
        <w:rPr>
          <w:rFonts w:ascii="Times New Roman" w:hAnsi="Times New Roman" w:cs="Times New Roman"/>
          <w:sz w:val="28"/>
          <w:szCs w:val="28"/>
        </w:rPr>
        <w:lastRenderedPageBreak/>
        <w:t>при распределении финансовых средств в соответствии с настоящим законом. Налоги, не входящие в репрезентативную систему налогов, не учитываются при определении уровня расчетной бюджетной обеспеченности муниципальных районов (городских округов).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 xml:space="preserve">Репрезентативная система налогов, перечень экономических показателей, характеризующих налоговую базу, налоговая база по соответствующим налогам, а также источник информации об указанных экономических показателях, налоговых базах приведены в </w:t>
      </w:r>
      <w:hyperlink w:anchor="P66">
        <w:r w:rsidRPr="00742633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Pr="00742633">
        <w:rPr>
          <w:rFonts w:ascii="Times New Roman" w:hAnsi="Times New Roman" w:cs="Times New Roman"/>
          <w:sz w:val="28"/>
          <w:szCs w:val="28"/>
        </w:rPr>
        <w:t>.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 w:rsidRPr="00742633">
        <w:rPr>
          <w:rFonts w:ascii="Times New Roman" w:hAnsi="Times New Roman" w:cs="Times New Roman"/>
          <w:sz w:val="28"/>
          <w:szCs w:val="28"/>
        </w:rPr>
        <w:t>Таблица 1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4202"/>
        <w:gridCol w:w="3118"/>
      </w:tblGrid>
      <w:tr w:rsidR="00742633" w:rsidRPr="00742633" w:rsidTr="00742633">
        <w:tc>
          <w:tcPr>
            <w:tcW w:w="3023" w:type="dxa"/>
          </w:tcPr>
          <w:p w:rsidR="00742633" w:rsidRPr="00FB7868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Налог</w:t>
            </w:r>
          </w:p>
        </w:tc>
        <w:tc>
          <w:tcPr>
            <w:tcW w:w="4202" w:type="dxa"/>
          </w:tcPr>
          <w:p w:rsidR="00742633" w:rsidRPr="00FB7868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 xml:space="preserve">Экономический показатель, характеризующий налоговую базу, налоговая база </w:t>
            </w:r>
            <w:hyperlink w:anchor="P94">
              <w:r w:rsidRPr="00FB7868">
                <w:rPr>
                  <w:rFonts w:ascii="Times New Roman" w:hAnsi="Times New Roman" w:cs="Times New Roman"/>
                  <w:sz w:val="24"/>
                  <w:szCs w:val="28"/>
                </w:rPr>
                <w:t>&lt;*&gt;</w:t>
              </w:r>
            </w:hyperlink>
          </w:p>
        </w:tc>
        <w:tc>
          <w:tcPr>
            <w:tcW w:w="3118" w:type="dxa"/>
          </w:tcPr>
          <w:p w:rsidR="00742633" w:rsidRPr="00FB7868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Источник информации</w:t>
            </w:r>
          </w:p>
        </w:tc>
      </w:tr>
      <w:tr w:rsidR="00742633" w:rsidRPr="00742633" w:rsidTr="00742633">
        <w:tc>
          <w:tcPr>
            <w:tcW w:w="3023" w:type="dxa"/>
            <w:vMerge w:val="restart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Налог на доходы физических лиц</w:t>
            </w:r>
          </w:p>
        </w:tc>
        <w:tc>
          <w:tcPr>
            <w:tcW w:w="4202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фонд заработной платы, тыс. рублей</w:t>
            </w:r>
          </w:p>
        </w:tc>
        <w:tc>
          <w:tcPr>
            <w:tcW w:w="3118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</w:tr>
      <w:tr w:rsidR="00742633" w:rsidRPr="00742633" w:rsidTr="00742633">
        <w:tc>
          <w:tcPr>
            <w:tcW w:w="3023" w:type="dxa"/>
            <w:vMerge/>
          </w:tcPr>
          <w:p w:rsidR="00742633" w:rsidRPr="00FB7868" w:rsidRDefault="0074263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2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облагаемая сумма дохода, тыс. рублей</w:t>
            </w:r>
          </w:p>
        </w:tc>
        <w:tc>
          <w:tcPr>
            <w:tcW w:w="3118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742633" w:rsidRPr="00742633" w:rsidTr="00742633">
        <w:tc>
          <w:tcPr>
            <w:tcW w:w="3023" w:type="dxa"/>
            <w:vMerge w:val="restart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Единый сельскохозяйственный налог</w:t>
            </w:r>
          </w:p>
        </w:tc>
        <w:tc>
          <w:tcPr>
            <w:tcW w:w="4202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продукция сельского хозяйства, тыс. рублей</w:t>
            </w:r>
          </w:p>
        </w:tc>
        <w:tc>
          <w:tcPr>
            <w:tcW w:w="3118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</w:tr>
      <w:tr w:rsidR="00742633" w:rsidRPr="00742633" w:rsidTr="00742633">
        <w:tc>
          <w:tcPr>
            <w:tcW w:w="3023" w:type="dxa"/>
            <w:vMerge/>
          </w:tcPr>
          <w:p w:rsidR="00742633" w:rsidRPr="00FB7868" w:rsidRDefault="0074263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02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денежное выражение доходов, уменьшенных на величину расходов, тыс. рублей</w:t>
            </w:r>
          </w:p>
        </w:tc>
        <w:tc>
          <w:tcPr>
            <w:tcW w:w="3118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742633" w:rsidRPr="00742633" w:rsidTr="00742633">
        <w:tc>
          <w:tcPr>
            <w:tcW w:w="3023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4202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стоимость добытых полезных ископаемых, тыс. рублей</w:t>
            </w:r>
          </w:p>
        </w:tc>
        <w:tc>
          <w:tcPr>
            <w:tcW w:w="3118" w:type="dxa"/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742633" w:rsidRPr="00742633" w:rsidTr="00742633">
        <w:tblPrEx>
          <w:tblBorders>
            <w:insideH w:val="nil"/>
          </w:tblBorders>
        </w:tblPrEx>
        <w:tc>
          <w:tcPr>
            <w:tcW w:w="3023" w:type="dxa"/>
            <w:tcBorders>
              <w:bottom w:val="nil"/>
            </w:tcBorders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202" w:type="dxa"/>
            <w:tcBorders>
              <w:bottom w:val="nil"/>
            </w:tcBorders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доходы, тыс. рублей;</w:t>
            </w:r>
          </w:p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доходы, уменьшенные на величину расходов, тыс. рублей</w:t>
            </w:r>
          </w:p>
        </w:tc>
        <w:tc>
          <w:tcPr>
            <w:tcW w:w="3118" w:type="dxa"/>
            <w:tcBorders>
              <w:bottom w:val="nil"/>
            </w:tcBorders>
          </w:tcPr>
          <w:p w:rsidR="00742633" w:rsidRPr="00FB7868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B7868">
              <w:rPr>
                <w:rFonts w:ascii="Times New Roman" w:hAnsi="Times New Roman" w:cs="Times New Roman"/>
                <w:sz w:val="24"/>
                <w:szCs w:val="28"/>
              </w:rPr>
              <w:t>Управление Федеральной налоговой службы по Смоленской области</w:t>
            </w:r>
          </w:p>
        </w:tc>
      </w:tr>
    </w:tbl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42633" w:rsidRPr="00742633" w:rsidRDefault="0074263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bookmarkStart w:id="2" w:name="P94"/>
      <w:bookmarkEnd w:id="2"/>
      <w:r w:rsidRPr="00742633">
        <w:rPr>
          <w:rFonts w:ascii="Times New Roman" w:hAnsi="Times New Roman" w:cs="Times New Roman"/>
          <w:sz w:val="24"/>
          <w:szCs w:val="28"/>
        </w:rPr>
        <w:t xml:space="preserve">&lt;*&gt; При расчете в соответствии с настоящими Порядком и Методикой (далее - настоящая Методика) налогового потенциала муниципальных районов (городских округов) по отдельному налогу в отношении всех муниципальных районов (городских округов) применяется единый экономический показатель, характеризующий налоговую базу, единая налоговая база по соответствующему налогу из числа указанных в </w:t>
      </w:r>
      <w:hyperlink w:anchor="P66">
        <w:r w:rsidRPr="00742633">
          <w:rPr>
            <w:rFonts w:ascii="Times New Roman" w:hAnsi="Times New Roman" w:cs="Times New Roman"/>
            <w:sz w:val="24"/>
            <w:szCs w:val="28"/>
          </w:rPr>
          <w:t>таблице 1</w:t>
        </w:r>
      </w:hyperlink>
      <w:r w:rsidRPr="00742633">
        <w:rPr>
          <w:rFonts w:ascii="Times New Roman" w:hAnsi="Times New Roman" w:cs="Times New Roman"/>
          <w:sz w:val="24"/>
          <w:szCs w:val="28"/>
        </w:rPr>
        <w:t>.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Налоговый потенциал муниципального района (городского округа) по отдельному налогу рассчитывается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ПД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Норм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x (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БН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БН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>), где: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налоговый потенциал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налогу;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ПД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прогноз поступлений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налога в консолидированный бюджет Смоленской области в очередном финансовом году и плановом периоде, определяемый согласно методике, утверждаемой </w:t>
      </w:r>
      <w:r w:rsidR="00A20761">
        <w:rPr>
          <w:rFonts w:ascii="Times New Roman" w:hAnsi="Times New Roman" w:cs="Times New Roman"/>
          <w:sz w:val="28"/>
          <w:szCs w:val="28"/>
        </w:rPr>
        <w:t>Правительством</w:t>
      </w:r>
      <w:r w:rsidRPr="00742633">
        <w:rPr>
          <w:rFonts w:ascii="Times New Roman" w:hAnsi="Times New Roman" w:cs="Times New Roman"/>
          <w:sz w:val="28"/>
          <w:szCs w:val="28"/>
        </w:rPr>
        <w:t xml:space="preserve"> Смоленской области;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Норм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норматив отчислений в бюджеты муниципальных районов (городских округов) от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налога, определяемый в соответствии с требованиями Бюджетного </w:t>
      </w:r>
      <w:hyperlink r:id="rId7">
        <w:r w:rsidRPr="00742633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8">
        <w:r w:rsidRPr="00742633">
          <w:rPr>
            <w:rFonts w:ascii="Times New Roman" w:hAnsi="Times New Roman" w:cs="Times New Roman"/>
            <w:sz w:val="28"/>
            <w:szCs w:val="28"/>
          </w:rPr>
          <w:t>статьи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настоящего закона, а в отношении налога на доходы физических лиц и единого сельскохозяйственного налога - в соответствии с методикой, утверждаемой </w:t>
      </w:r>
      <w:r w:rsidR="00A20761">
        <w:rPr>
          <w:rFonts w:ascii="Times New Roman" w:hAnsi="Times New Roman" w:cs="Times New Roman"/>
          <w:sz w:val="28"/>
          <w:szCs w:val="28"/>
        </w:rPr>
        <w:t>Правительством</w:t>
      </w:r>
      <w:r w:rsidRPr="00742633">
        <w:rPr>
          <w:rFonts w:ascii="Times New Roman" w:hAnsi="Times New Roman" w:cs="Times New Roman"/>
          <w:sz w:val="28"/>
          <w:szCs w:val="28"/>
        </w:rPr>
        <w:t xml:space="preserve"> Смоленской области;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БН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налоговая база (экономический показатель, характеризующий налоговую базу)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налогу, которая определяется по следующей формуле:</w:t>
      </w:r>
    </w:p>
    <w:p w:rsidR="004638AF" w:rsidRDefault="004638AF" w:rsidP="00463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A0E97" w:rsidRPr="00FA0E97" w:rsidRDefault="00F82EEC" w:rsidP="004638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ji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ндфл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ji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,</m:t>
        </m:r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</w:t>
      </w:r>
    </w:p>
    <w:p w:rsidR="00FA0E97" w:rsidRPr="00FA0E97" w:rsidRDefault="00FA0E97" w:rsidP="00FA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</m:t>
          </m:r>
        </m:oMath>
      </m:oMathPara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</m:sSub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 xml:space="preserve"> - налоговая база (экономический показатель, характеризующий налоговую базу) j-го муниципального района (городского округа) по налогу на доходы физических лиц, которая определяется по следующей формуле:</w:t>
      </w:r>
    </w:p>
    <w:p w:rsidR="00FA0E97" w:rsidRPr="00FA0E97" w:rsidRDefault="00FA0E97" w:rsidP="00FA0E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=0,3 x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Н-2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+0,3 х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Н-1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+0,4 х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FA0E97" w:rsidRPr="00FA0E97" w:rsidRDefault="00FA0E97" w:rsidP="00FA0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>, 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Н-1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>, 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ндфл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Н-2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 xml:space="preserve"> - налоговая база (экономический показатель, характеризующий налоговую базу) j-го муниципального района (городского округа) по налогу на доходы физических лиц за отчетный финансовый год и за два года, предшествующие отчетному году; </w:t>
      </w:r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</m:sSub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 xml:space="preserve"> - налоговая база (экономический показатель, характеризующий налоговую базу) j-го муниципального района (городского округа) по i-му налогу (за исключением налога на доходы физических лиц), которая опре</w:t>
      </w:r>
      <w:r w:rsidR="004638AF">
        <w:rPr>
          <w:rFonts w:ascii="Times New Roman" w:eastAsia="Times New Roman" w:hAnsi="Times New Roman" w:cs="Times New Roman"/>
          <w:sz w:val="28"/>
          <w:szCs w:val="28"/>
        </w:rPr>
        <w:t>деляется по следующей формуле:</w:t>
      </w:r>
    </w:p>
    <w:p w:rsidR="00FA0E97" w:rsidRPr="00FA0E97" w:rsidRDefault="00FA0E97" w:rsidP="00FA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position w:val="-11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=0,3 x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Н-2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+0,35 х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Н-1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+0,35 х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:rsidR="00FA0E97" w:rsidRPr="00FA0E97" w:rsidRDefault="00F82EEC" w:rsidP="00FA0E97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>, 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Н-1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>, 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Н-2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 xml:space="preserve"> - налоговая база (экономический показатель, характеризующий налоговую базу) j-го муниципального района (городского округа) по i-му налогу (за исключением налога на доходы физических лиц) за отчетный финансовый год и за два года, предшествующие отчетному году. При этом значения налоговых баз по налогу, взимаемому в связи с применением упрощенной системы налогообложения, и единому сельскохозяйственному налогу за отчетный финансовый год определяются на основании данных из источников информации, </w:t>
      </w:r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указанных в таблице 1 настоящего приложения, если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="Times New Roman" w:hAnsi="Cambria Math" w:cs="Times New Roman"/>
            <w:sz w:val="28"/>
            <w:szCs w:val="24"/>
          </w:rPr>
          <m:t xml:space="preserve"> </m:t>
        </m:r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>/ 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Н-1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 xml:space="preserve">&lt; </w:t>
      </w:r>
      <m:oMath>
        <m:sSub>
          <m:sSubPr>
            <m:ctrlPr>
              <w:rPr>
                <w:rFonts w:ascii="Cambria Math" w:eastAsia="Times New Roman" w:hAnsi="Cambria Math" w:cs="Times New Roman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ТР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ср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>, а в случае если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="Times New Roman" w:hAnsi="Cambria Math" w:cs="Times New Roman"/>
            <w:sz w:val="28"/>
            <w:szCs w:val="24"/>
          </w:rPr>
          <m:t xml:space="preserve"> </m:t>
        </m:r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>/ 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Н-1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0E97" w:rsidRPr="00FA0E97">
        <w:rPr>
          <w:rFonts w:ascii="Times New Roman" w:eastAsia="Times New Roman" w:hAnsi="Times New Roman" w:cs="Times New Roman"/>
          <w:sz w:val="28"/>
          <w:szCs w:val="24"/>
        </w:rPr>
        <w:t xml:space="preserve">&gt; </w:t>
      </w:r>
      <m:oMath>
        <m:sSub>
          <m:sSubPr>
            <m:ctrlPr>
              <w:rPr>
                <w:rFonts w:ascii="Cambria Math" w:eastAsia="Times New Roman" w:hAnsi="Cambria Math" w:cs="Times New Roman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ТР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ср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</w:rPr>
        <w:t>, то значения налоговых баз по налогу, взимаемому в связи с применением упрощенной системы налогообложения, и единому сельскохозяйственному налогу за отчетный финансовый год определяются по следующей формуле:</w:t>
      </w:r>
    </w:p>
    <w:p w:rsidR="00FA0E97" w:rsidRPr="00FA0E97" w:rsidRDefault="00FA0E97" w:rsidP="00FA0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p>
        </m:sSubSup>
        <m:r>
          <w:rPr>
            <w:rFonts w:ascii="Cambria Math" w:eastAsia="Times New Roman" w:hAnsi="Cambria Math" w:cs="Times New Roman"/>
            <w:sz w:val="28"/>
            <w:szCs w:val="24"/>
            <w:lang w:eastAsia="ru-RU"/>
          </w:rPr>
          <m:t xml:space="preserve"> </m:t>
        </m:r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= </w:t>
      </w:r>
      <m:oMath>
        <m:sSub>
          <m:sSubPr>
            <m:ctrlPr>
              <w:rPr>
                <w:rFonts w:ascii="Cambria Math" w:eastAsia="Times New Roman" w:hAnsi="Cambria Math" w:cs="Times New Roman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ср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Н-1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  <w:lang w:eastAsia="ru-RU"/>
        </w:rPr>
        <w:t>, где</w:t>
      </w:r>
    </w:p>
    <w:p w:rsidR="00FA0E97" w:rsidRPr="00FA0E97" w:rsidRDefault="00FA0E97" w:rsidP="00FA0E97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0E97">
        <w:rPr>
          <w:rFonts w:ascii="Times New Roman" w:eastAsia="Times New Roman" w:hAnsi="Times New Roman" w:cs="Times New Roman"/>
          <w:sz w:val="28"/>
          <w:szCs w:val="28"/>
        </w:rPr>
        <w:t>ТР</w:t>
      </w:r>
      <w:r w:rsidRPr="00FA0E97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A0E97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i</w:t>
      </w:r>
      <w:r w:rsidRPr="00FA0E97">
        <w:rPr>
          <w:rFonts w:ascii="Times New Roman" w:eastAsia="Times New Roman" w:hAnsi="Times New Roman" w:cs="Times New Roman"/>
          <w:sz w:val="28"/>
          <w:szCs w:val="28"/>
        </w:rPr>
        <w:t xml:space="preserve"> - средний темп по налоговым базам по муниципальным районам (городским округам) по i-</w:t>
      </w:r>
      <w:proofErr w:type="spellStart"/>
      <w:r w:rsidRPr="00FA0E97"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 w:rsidRPr="00FA0E97">
        <w:rPr>
          <w:rFonts w:ascii="Times New Roman" w:eastAsia="Times New Roman" w:hAnsi="Times New Roman" w:cs="Times New Roman"/>
          <w:sz w:val="28"/>
          <w:szCs w:val="28"/>
        </w:rPr>
        <w:t xml:space="preserve"> налогу (за исключением налога на доходы физических лиц и налога на добычу общераспространенных полезных ископаемых) в отчетном финансовом году, который определяется по следующей формуле:</w:t>
      </w:r>
    </w:p>
    <w:p w:rsidR="00FA0E97" w:rsidRPr="00FA0E97" w:rsidRDefault="00FA0E97" w:rsidP="00FA0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0E97" w:rsidRPr="00FA0E97" w:rsidRDefault="00FA0E97" w:rsidP="00FA0E97">
      <w:pPr>
        <w:tabs>
          <w:tab w:val="left" w:pos="517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m:oMath>
        <m:r>
          <w:rPr>
            <w:rFonts w:ascii="Cambria Math" w:eastAsia="Times New Roman" w:hAnsi="Cambria Math" w:cs="Times New Roman"/>
            <w:szCs w:val="28"/>
            <w:lang w:eastAsia="ru-RU"/>
          </w:rPr>
          <m:t xml:space="preserve"> </m:t>
        </m:r>
      </m:oMath>
      <w:r w:rsidRPr="00FA0E97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FA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FA0E9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FA0E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</w:t>
      </w:r>
      <w:proofErr w:type="spellStart"/>
      <w:r w:rsidRPr="00FA0E9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proofErr w:type="spellEnd"/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ср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Cs w:val="28"/>
            <w:lang w:eastAsia="ru-RU"/>
          </w:rPr>
          <m:t xml:space="preserve"> </m:t>
        </m:r>
      </m:oMath>
      <w:r w:rsidR="00FA0E97" w:rsidRPr="00FA0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∑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 </w:t>
      </w:r>
      <w:r w:rsidR="00FA0E97" w:rsidRPr="00FA0E97">
        <w:rPr>
          <w:rFonts w:ascii="Times New Roman" w:eastAsia="Times New Roman" w:hAnsi="Times New Roman" w:cs="Times New Roman"/>
          <w:sz w:val="28"/>
          <w:szCs w:val="28"/>
          <w:lang w:eastAsia="ru-RU"/>
        </w:rPr>
        <w:t>∑</w:t>
      </w:r>
      <w:r w:rsidR="00FA0E97" w:rsidRPr="00FA0E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ji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Н-1</m:t>
            </m:r>
          </m:sup>
        </m:sSubSup>
      </m:oMath>
      <w:r w:rsidR="00FA0E97" w:rsidRPr="00FA0E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4638A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742633" w:rsidRPr="00FA0E97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E97">
        <w:rPr>
          <w:rFonts w:ascii="Times New Roman" w:hAnsi="Times New Roman" w:cs="Times New Roman"/>
          <w:sz w:val="28"/>
          <w:szCs w:val="28"/>
        </w:rPr>
        <w:t>n - количество муниципальных районов (городских округов);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БН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суммарная налоговая база (экономический показатель, характеризующий налоговую базу) муниципальных районов (городских округов)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налогу в отчетном финансовом году.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Налоговый потенциал муниципального района (городского округа) рассчитывается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8"/>
          <w:sz w:val="32"/>
          <w:szCs w:val="28"/>
        </w:rPr>
        <w:drawing>
          <wp:inline distT="0" distB="0" distL="0" distR="0">
            <wp:extent cx="1266825" cy="23812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налоговый потенциал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налоговый потенциал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налогу (суммирование производится по всем налогам, входящим в репрезентативную систему налогов).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Рассчитанные оценки налогового потенциала не являются планируемыми или рекомендуемыми показателями доходов бюджетов муниципальных районов (городских округов) и используются только для расчета индекса налогового потенциала и сопоставления уровня расчетной бюджетной обеспеченности муниципальных районов (городских округов) в целях настоящего закона.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Подраздел 2.2. РАСЧЕТ ИНДЕКСА БЮДЖЕТНЫХ РАСХОДОВ</w:t>
      </w:r>
    </w:p>
    <w:p w:rsidR="00742633" w:rsidRPr="00742633" w:rsidRDefault="007426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МУНИЦИПАЛЬНЫХ РАЙОНОВ (ГОРОДСКИХ ОКРУГОВ)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Для оценки относительных различий в расходных обязательствах муниципальных районов (городских округов) используется репрезентативная система расходных обязательств (</w:t>
      </w:r>
      <w:hyperlink w:anchor="P194">
        <w:r w:rsidRPr="00742633">
          <w:rPr>
            <w:rFonts w:ascii="Times New Roman" w:hAnsi="Times New Roman" w:cs="Times New Roman"/>
            <w:sz w:val="28"/>
            <w:szCs w:val="28"/>
          </w:rPr>
          <w:t>таблица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настоящего приложения), которая включает расходные обязательства, связанные с решением вопросов местного значения муниципальных районов (городских округов) (далее также - вид расходов).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 xml:space="preserve">Индекс бюджетных расходов муниципального района (городского округа) </w:t>
      </w:r>
      <w:r w:rsidRPr="00742633">
        <w:rPr>
          <w:rFonts w:ascii="Times New Roman" w:hAnsi="Times New Roman" w:cs="Times New Roman"/>
          <w:sz w:val="28"/>
          <w:szCs w:val="28"/>
        </w:rPr>
        <w:lastRenderedPageBreak/>
        <w:t>рассчитывается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628775" cy="23812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ИБР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индекс бюджетных расходов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а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доля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вида расходов в составе репрезентативной системы расходных обязательств согласно </w:t>
      </w:r>
      <w:hyperlink w:anchor="P194">
        <w:r w:rsidRPr="00742633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настоящего приложения;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ИБР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индекс бюджетных расходов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виду расходов репрезентативной системы расходных обязательств.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Рассчитанные оценки индекса бюджетных расходов муниципальных районов (городских округов) не являются планируемыми или рекомендуемыми показателями, определяющими расходы бюджетов муниципальных районов (городских округов), и используются только для расчета уровня расчетной бюджетной обеспеченности в целях настоящего закона.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Индекс бюджетных расходов муниципального района (городского округа) по отдельному виду расходов репрезентативной системы расходных обязательств рассчитывается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990975" cy="257175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12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ИБР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индекс бюджетных расходов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виду расходов репрезентативной системы расходных обязательств;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П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численность потребителей муниципальных услуг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виду расходов репрезентативной системы расходных обязательств;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19075" cy="25717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, ..., </w:t>
      </w: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19075" cy="25717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- коэффициенты удорожания стоимости предоставления муниципальных услуг, отражающие факторы, влияющие на стоимость предоставляемых муниципальных услуг по i-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виду расходов репрезентативной системы расходных обязательств в расчете на одного потребителя муниципальных услуг в j-м муниципальном районе (городском округе);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численность жителей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округа). Указанная численность жителей определяется в соответствии с </w:t>
      </w:r>
      <w:hyperlink r:id="rId14">
        <w:r w:rsidRPr="00742633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Н - численность жителей всех муниципальных районов (городских округов).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Для оценки относительных различий в расходных потребностях численность потребителей муниципальных услуг каждого муниципального района (городского округа) по видам расходов репрезентативной системы расходных обязательств корректируется на коэффициенты удорожания стоимости предоставления муниципальных услуг, отражающие социально-экономические, географические и иные объективные факторы, влияющие на стоимость предоставления одного и того же объема муниципальных услуг в расчете на одного жителя.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В настоящей Методике применяются следующие коэффициенты удорожания стоимости предоставления муниципальных услуг: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1) коэффициент масштаба, рассчитываемый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E97" w:rsidRPr="00FA0E97" w:rsidRDefault="00F82EEC" w:rsidP="00FA0E9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SupPr>
          <m:e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j</m:t>
            </m:r>
          </m:sub>
          <m:sup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M</m:t>
            </m:r>
          </m:sup>
        </m:sSubSup>
        <m:r>
          <m:rPr>
            <m:nor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=</m:t>
        </m:r>
        <m:r>
          <m:rPr>
            <m:nor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 </m:t>
        </m:r>
        <m:d>
          <m:d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dPr>
          <m:e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 xml:space="preserve">0,75 x </m:t>
            </m:r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  <w:lang w:eastAsia="ru-RU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m:t>H</m:t>
                </m:r>
              </m:e>
              <m:sub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m:t>j</m:t>
                </m:r>
              </m:sub>
            </m:sSub>
            <m:r>
              <m:rPr>
                <m:nor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+</m:t>
            </m:r>
            <m:r>
              <m:rPr>
                <m:nor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 xml:space="preserve">0,25 x </m:t>
            </m:r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  <w:lang w:eastAsia="ru-RU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m:t>H</m:t>
                </m:r>
              </m:e>
              <m:sub>
                <m:r>
                  <m:rPr>
                    <m:nor/>
                  </m:rP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m:t>ср</m:t>
                </m:r>
              </m:sub>
            </m:sSub>
          </m:e>
        </m:d>
        <m:r>
          <m:rPr>
            <m:nor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/</m:t>
        </m:r>
        <m:r>
          <m:rPr>
            <m:nor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  <w:lang w:eastAsia="ru-RU"/>
              </w:rPr>
            </m:ctrlPr>
          </m:sSubPr>
          <m:e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Н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j</m:t>
            </m:r>
          </m:sub>
        </m:sSub>
      </m:oMath>
      <w:r w:rsidR="00350B0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38125" cy="257175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- коэффициент масштаба в j-м муниципальном районе (городском округе). В случае если </w:t>
      </w: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466725" cy="257175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, то </w:t>
      </w: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38125" cy="25717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равно 3;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численность жителей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средняя численность жителей муниципальных районов (городских округов);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2) коэффициент дисперсности расселения, рассчитываемый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143000" cy="25717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28600" cy="257175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- коэффициент дисперсности расселения в j-м муниципальном районе (городском округе);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УВ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удельный вес жителей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округа), проживающих в населенных пунктах с численностью населения менее 501 человека;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3) коэффициент уровня урбанизации, рассчитываемый по следующей формуле: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247775" cy="257175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28600" cy="25717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- коэффициент уровня урбанизации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округа). При этом для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района, административным центром которого является сельский населенный пункт с численностью населения менее 3500 человек, </w:t>
      </w:r>
      <w:r w:rsidRPr="0074263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28600" cy="257175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равно 1,4;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УВГ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удельный вес городского населения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(населения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района, проживающего в сельском населенном пункте, являющемся административным центром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района) по состоянию на 1 января текущего финансового года;</w:t>
      </w:r>
    </w:p>
    <w:p w:rsidR="00742633" w:rsidRPr="00742633" w:rsidRDefault="00742633" w:rsidP="0074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 xml:space="preserve">При расчете коэффициентов удорожания стоимости предоставления муниципальных услуг численность жителей определяется в соответствии с </w:t>
      </w:r>
      <w:hyperlink r:id="rId23">
        <w:r w:rsidRPr="00742633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 xml:space="preserve">Перечень вопросов местного значения муниципальных районов (городских округов), определяющих состав репрезентативной системы расходных обязательств, перечень показателей, определяющих потребителей муниципальных услуг, источник информации о показателях, определяющих потребителей муниципальных услуг, применяемые к данным показателям коэффициенты удорожания стоимости предоставления муниципальных услуг, а также доли отдельных видов расходов в составе репрезентативной системы расходных обязательств приведены в </w:t>
      </w:r>
      <w:hyperlink w:anchor="P194">
        <w:r w:rsidRPr="00742633">
          <w:rPr>
            <w:rFonts w:ascii="Times New Roman" w:hAnsi="Times New Roman" w:cs="Times New Roman"/>
            <w:sz w:val="28"/>
            <w:szCs w:val="28"/>
          </w:rPr>
          <w:t>таблице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>.</w:t>
      </w:r>
      <w:bookmarkStart w:id="3" w:name="P194"/>
      <w:bookmarkEnd w:id="3"/>
    </w:p>
    <w:p w:rsidR="00FB7868" w:rsidRDefault="00FB7868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28"/>
        </w:rPr>
      </w:pPr>
    </w:p>
    <w:p w:rsidR="00FA0E97" w:rsidRDefault="00FA0E97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28"/>
        </w:rPr>
      </w:pPr>
    </w:p>
    <w:p w:rsidR="00FA0E97" w:rsidRDefault="00FA0E97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28"/>
        </w:rPr>
      </w:pPr>
    </w:p>
    <w:p w:rsidR="00FA0E97" w:rsidRDefault="00FA0E97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28"/>
        </w:rPr>
      </w:pPr>
    </w:p>
    <w:p w:rsidR="00FA0E97" w:rsidRDefault="00FA0E97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28"/>
        </w:rPr>
      </w:pPr>
    </w:p>
    <w:p w:rsidR="00FA0E97" w:rsidRDefault="00FA0E97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28"/>
        </w:rPr>
      </w:pPr>
    </w:p>
    <w:p w:rsidR="00FA0E97" w:rsidRPr="00FB7868" w:rsidRDefault="00FA0E97">
      <w:pPr>
        <w:pStyle w:val="ConsPlusNormal"/>
        <w:jc w:val="right"/>
        <w:outlineLvl w:val="3"/>
        <w:rPr>
          <w:rFonts w:ascii="Times New Roman" w:hAnsi="Times New Roman" w:cs="Times New Roman"/>
          <w:sz w:val="16"/>
          <w:szCs w:val="28"/>
        </w:rPr>
      </w:pPr>
    </w:p>
    <w:p w:rsidR="00742633" w:rsidRDefault="00742633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7"/>
        <w:tblpPr w:leftFromText="180" w:rightFromText="180" w:vertAnchor="text" w:horzAnchor="page" w:tblpX="1139" w:tblpY="53"/>
        <w:tblW w:w="10343" w:type="dxa"/>
        <w:tblLayout w:type="fixed"/>
        <w:tblLook w:val="04A0" w:firstRow="1" w:lastRow="0" w:firstColumn="1" w:lastColumn="0" w:noHBand="0" w:noVBand="1"/>
      </w:tblPr>
      <w:tblGrid>
        <w:gridCol w:w="2547"/>
        <w:gridCol w:w="1984"/>
        <w:gridCol w:w="1684"/>
        <w:gridCol w:w="2144"/>
        <w:gridCol w:w="1984"/>
      </w:tblGrid>
      <w:tr w:rsidR="00FB7868" w:rsidTr="00FB7868">
        <w:tc>
          <w:tcPr>
            <w:tcW w:w="2547" w:type="dxa"/>
          </w:tcPr>
          <w:p w:rsidR="00FB7868" w:rsidRDefault="00FB7868" w:rsidP="00FB7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местного значения</w:t>
            </w:r>
          </w:p>
        </w:tc>
        <w:tc>
          <w:tcPr>
            <w:tcW w:w="1984" w:type="dxa"/>
          </w:tcPr>
          <w:p w:rsidR="00FB7868" w:rsidRDefault="00FB7868" w:rsidP="00FB7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Показатель, определяющий потребителей муниципальных услуг</w:t>
            </w:r>
          </w:p>
        </w:tc>
        <w:tc>
          <w:tcPr>
            <w:tcW w:w="1684" w:type="dxa"/>
          </w:tcPr>
          <w:p w:rsidR="00FB7868" w:rsidRDefault="00FB7868" w:rsidP="00FB7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2144" w:type="dxa"/>
          </w:tcPr>
          <w:p w:rsidR="00FB7868" w:rsidRDefault="00FB7868" w:rsidP="00FB7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Применяемый коэффициент удорожания стоимости предоставления муниципальных услуг</w:t>
            </w:r>
          </w:p>
        </w:tc>
        <w:tc>
          <w:tcPr>
            <w:tcW w:w="1984" w:type="dxa"/>
          </w:tcPr>
          <w:p w:rsidR="00FB7868" w:rsidRDefault="00FB7868" w:rsidP="00FB7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Доля отдельного вида расходов в составе репрезентативной системы расходных обязательств</w:t>
            </w:r>
          </w:p>
        </w:tc>
      </w:tr>
    </w:tbl>
    <w:p w:rsidR="00742633" w:rsidRPr="00FB7868" w:rsidRDefault="00742633">
      <w:pPr>
        <w:pStyle w:val="ConsPlusNormal"/>
        <w:jc w:val="right"/>
        <w:outlineLvl w:val="3"/>
        <w:rPr>
          <w:rFonts w:ascii="Times New Roman" w:hAnsi="Times New Roman" w:cs="Times New Roman"/>
          <w:sz w:val="2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1984"/>
        <w:gridCol w:w="1661"/>
        <w:gridCol w:w="2167"/>
        <w:gridCol w:w="1984"/>
      </w:tblGrid>
      <w:tr w:rsidR="00742633" w:rsidRPr="00742633" w:rsidTr="00FB7868">
        <w:trPr>
          <w:trHeight w:val="206"/>
          <w:tblHeader/>
        </w:trPr>
        <w:tc>
          <w:tcPr>
            <w:tcW w:w="2547" w:type="dxa"/>
          </w:tcPr>
          <w:p w:rsidR="00742633" w:rsidRPr="00742633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1" w:type="dxa"/>
          </w:tcPr>
          <w:p w:rsidR="00742633" w:rsidRPr="00742633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</w:tcPr>
          <w:p w:rsidR="00742633" w:rsidRPr="00742633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2633" w:rsidRPr="00742633" w:rsidTr="00FB7868">
        <w:tc>
          <w:tcPr>
            <w:tcW w:w="254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Составление и рассмотрение проекта бюджета муниципального района (городского округа), утверждение и исполнение бюджета муниципального района (городского округа), осуществление контроля за его исполнением, составление и утверждение отчета об исполнении бюджета муниципального района (городского округа)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муниципальных районов (городских округов) </w:t>
            </w:r>
            <w:hyperlink w:anchor="P247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661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216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масштаба,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дисперсности расселения,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</w:t>
            </w:r>
          </w:p>
        </w:tc>
        <w:tc>
          <w:tcPr>
            <w:tcW w:w="1984" w:type="dxa"/>
          </w:tcPr>
          <w:p w:rsidR="00742633" w:rsidRPr="00742633" w:rsidRDefault="00FA0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742633" w:rsidRPr="00742633" w:rsidTr="00FB7868">
        <w:tc>
          <w:tcPr>
            <w:tcW w:w="254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создание 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 возрасте 0 - 6 лет </w:t>
            </w:r>
            <w:hyperlink w:anchor="P249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661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216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масштаба,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уровня урбанизации,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</w:t>
            </w:r>
          </w:p>
        </w:tc>
        <w:tc>
          <w:tcPr>
            <w:tcW w:w="1984" w:type="dxa"/>
          </w:tcPr>
          <w:p w:rsidR="00742633" w:rsidRPr="00742633" w:rsidRDefault="00FA0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742633" w:rsidRPr="00742633" w:rsidTr="00FB7868">
        <w:tc>
          <w:tcPr>
            <w:tcW w:w="254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дети в возрасте 7 - 16 лет </w:t>
            </w:r>
            <w:hyperlink w:anchor="P249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661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216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масштаба,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дисперсности расселения,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уровня урбанизации,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</w:t>
            </w:r>
          </w:p>
        </w:tc>
        <w:tc>
          <w:tcPr>
            <w:tcW w:w="1984" w:type="dxa"/>
          </w:tcPr>
          <w:p w:rsidR="00742633" w:rsidRPr="00742633" w:rsidRDefault="00FA0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742633" w:rsidRPr="00742633" w:rsidTr="00FB7868">
        <w:tc>
          <w:tcPr>
            <w:tcW w:w="254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 возрасте 7 - 16 лет </w:t>
            </w:r>
            <w:hyperlink w:anchor="P249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661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Федеральной службы государственной статистики по Смоленской области</w:t>
            </w:r>
          </w:p>
        </w:tc>
        <w:tc>
          <w:tcPr>
            <w:tcW w:w="216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коэффициент масштаба,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коэффициент уровня урбанизации,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</w:t>
            </w:r>
          </w:p>
        </w:tc>
        <w:tc>
          <w:tcPr>
            <w:tcW w:w="1984" w:type="dxa"/>
          </w:tcPr>
          <w:p w:rsidR="00742633" w:rsidRPr="00742633" w:rsidRDefault="00FA0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9,6</w:t>
            </w:r>
          </w:p>
        </w:tc>
      </w:tr>
      <w:tr w:rsidR="00742633" w:rsidRPr="00742633" w:rsidTr="00FB7868">
        <w:tc>
          <w:tcPr>
            <w:tcW w:w="254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поселений, входящих в состав муниципального района, услугами по организации досуга и услугами организаций культуры, организация библиотечного обслуживания населения </w:t>
            </w:r>
            <w:proofErr w:type="spellStart"/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межпоселенческими</w:t>
            </w:r>
            <w:proofErr w:type="spellEnd"/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библиотеками, комплектование и обеспечение сохранности их библиотечных фондов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муниципальных районов (городских округов) </w:t>
            </w:r>
            <w:hyperlink w:anchor="P247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661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216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масштаба,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уровня урбанизации,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</w:t>
            </w:r>
          </w:p>
        </w:tc>
        <w:tc>
          <w:tcPr>
            <w:tcW w:w="1984" w:type="dxa"/>
          </w:tcPr>
          <w:p w:rsidR="00742633" w:rsidRPr="00742633" w:rsidRDefault="00FA0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742633" w:rsidRPr="00742633" w:rsidTr="00FB7868">
        <w:tc>
          <w:tcPr>
            <w:tcW w:w="2547" w:type="dxa"/>
          </w:tcPr>
          <w:p w:rsidR="00742633" w:rsidRPr="00742633" w:rsidRDefault="00742633" w:rsidP="00FB78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Иные вопросы местного значения муниципальных районов (городских округов), определенные </w:t>
            </w:r>
            <w:hyperlink r:id="rId24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статьями 15</w:t>
              </w:r>
            </w:hyperlink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5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16</w:t>
              </w:r>
            </w:hyperlink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 (в части решения городскими округами вопросов местного значения, аналогичных вопросам местного значения муниципального района) Федерального закона от 6 октября 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2003 года </w:t>
            </w:r>
            <w:r w:rsidR="00FB78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 xml:space="preserve"> 131-ФЗ "Об общих принципах организации местного самоуправления в Российской Федерации"</w:t>
            </w:r>
          </w:p>
        </w:tc>
        <w:tc>
          <w:tcPr>
            <w:tcW w:w="1984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жителей муниципальных районов (городских округов) </w:t>
            </w:r>
            <w:hyperlink w:anchor="P247">
              <w:r w:rsidRPr="00742633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661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Федеральной службы государственной статистики по Смоленской области</w:t>
            </w:r>
          </w:p>
        </w:tc>
        <w:tc>
          <w:tcPr>
            <w:tcW w:w="2167" w:type="dxa"/>
          </w:tcPr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масштаба,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</w:t>
            </w: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633" w:rsidRPr="00742633" w:rsidRDefault="00742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33">
              <w:rPr>
                <w:rFonts w:ascii="Times New Roman" w:hAnsi="Times New Roman" w:cs="Times New Roman"/>
                <w:sz w:val="24"/>
                <w:szCs w:val="24"/>
              </w:rPr>
              <w:t>- коэффициент дисперсности расселения, К</w:t>
            </w:r>
            <w:r w:rsidRPr="007426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</w:t>
            </w:r>
          </w:p>
        </w:tc>
        <w:tc>
          <w:tcPr>
            <w:tcW w:w="1984" w:type="dxa"/>
          </w:tcPr>
          <w:p w:rsidR="00742633" w:rsidRPr="00742633" w:rsidRDefault="00FA0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</w:tbl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42633" w:rsidRPr="00742633" w:rsidRDefault="0074263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47"/>
      <w:bookmarkEnd w:id="4"/>
      <w:r w:rsidRPr="00742633">
        <w:rPr>
          <w:rFonts w:ascii="Times New Roman" w:hAnsi="Times New Roman" w:cs="Times New Roman"/>
          <w:sz w:val="28"/>
          <w:szCs w:val="28"/>
        </w:rPr>
        <w:t xml:space="preserve">&lt;*&gt; Указанная численность жителей определяется в соответствии с </w:t>
      </w:r>
      <w:hyperlink r:id="rId26">
        <w:r w:rsidRPr="00742633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742633" w:rsidRPr="00742633" w:rsidRDefault="0074263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49"/>
      <w:bookmarkEnd w:id="5"/>
      <w:r w:rsidRPr="00742633">
        <w:rPr>
          <w:rFonts w:ascii="Times New Roman" w:hAnsi="Times New Roman" w:cs="Times New Roman"/>
          <w:sz w:val="28"/>
          <w:szCs w:val="28"/>
        </w:rPr>
        <w:t>&lt;**&gt; Численность детей, проживающих в соответствующих муниципальных районах (городских округах), определяется по данным Территориального органа Федеральной службы государственной статистики по Смоленской области по состоянию на 1 января отчетного финансового года.</w:t>
      </w:r>
    </w:p>
    <w:p w:rsid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868" w:rsidRDefault="00FB78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868" w:rsidRPr="00742633" w:rsidRDefault="00FB78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Раздел 3. РАСПРЕДЕЛЕНИЕ ДОТАЦИЙ НА ВЫРАВНИВАНИЕ БЮДЖЕТНОЙ</w:t>
      </w:r>
    </w:p>
    <w:p w:rsidR="00742633" w:rsidRPr="00742633" w:rsidRDefault="0074263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ОБЕСПЕЧЕННОСТИ МУНИЦИПАЛЬНЫХ РАЙОНОВ (ГОРОДСКИХ ОКРУГОВ)</w:t>
      </w:r>
    </w:p>
    <w:p w:rsidR="00742633" w:rsidRPr="00742633" w:rsidRDefault="0074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Подраздел 3.1. РАСЧЕТ РАЗМЕРА ДОТАЦИЙ НА ВЫРАВНИВАНИЕ</w:t>
      </w:r>
    </w:p>
    <w:p w:rsidR="00742633" w:rsidRDefault="00742633" w:rsidP="00720F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РАСЧЕТНОЙ БЮДЖЕТНОЙ ОБЕСПЕЧЕННОСТИ МУНИЦИПАЛЬНЫХ РАЙОНОВ</w:t>
      </w:r>
      <w:r w:rsidR="00720F8E">
        <w:rPr>
          <w:rFonts w:ascii="Times New Roman" w:hAnsi="Times New Roman" w:cs="Times New Roman"/>
          <w:sz w:val="28"/>
          <w:szCs w:val="28"/>
        </w:rPr>
        <w:t xml:space="preserve"> </w:t>
      </w:r>
      <w:r w:rsidRPr="00742633">
        <w:rPr>
          <w:rFonts w:ascii="Times New Roman" w:hAnsi="Times New Roman" w:cs="Times New Roman"/>
          <w:sz w:val="28"/>
          <w:szCs w:val="28"/>
        </w:rPr>
        <w:t>(ГОРОДСКИХ ОКРУГОВ) И ПОРЯДОК ОПРЕДЕЛЕНИЯ КРИТЕРИЯ</w:t>
      </w:r>
      <w:r w:rsidR="00720F8E">
        <w:rPr>
          <w:rFonts w:ascii="Times New Roman" w:hAnsi="Times New Roman" w:cs="Times New Roman"/>
          <w:sz w:val="28"/>
          <w:szCs w:val="28"/>
        </w:rPr>
        <w:t xml:space="preserve"> </w:t>
      </w:r>
      <w:r w:rsidRPr="00742633">
        <w:rPr>
          <w:rFonts w:ascii="Times New Roman" w:hAnsi="Times New Roman" w:cs="Times New Roman"/>
          <w:sz w:val="28"/>
          <w:szCs w:val="28"/>
        </w:rPr>
        <w:t>ВЫРАВНИВАНИЯ РАСЧЕТНОЙ БЮДЖЕТНОЙ ОБЕСПЕЧЕННОСТИ</w:t>
      </w:r>
      <w:r w:rsidR="00720F8E">
        <w:rPr>
          <w:rFonts w:ascii="Times New Roman" w:hAnsi="Times New Roman" w:cs="Times New Roman"/>
          <w:sz w:val="28"/>
          <w:szCs w:val="28"/>
        </w:rPr>
        <w:t xml:space="preserve"> </w:t>
      </w:r>
      <w:r w:rsidRPr="00742633">
        <w:rPr>
          <w:rFonts w:ascii="Times New Roman" w:hAnsi="Times New Roman" w:cs="Times New Roman"/>
          <w:sz w:val="28"/>
          <w:szCs w:val="28"/>
        </w:rPr>
        <w:t>МУНИЦИПАЛЬНЫХ РАЙОНОВ (ГОРОДСКИХ ОКРУГОВ)</w:t>
      </w:r>
    </w:p>
    <w:p w:rsidR="00FB7868" w:rsidRPr="00742633" w:rsidRDefault="00FB78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Дотации на выравнивание расчетной бюджетной обеспеченности муниципальных районов (городских округов) предоставляются муниципальным районам (городским округам), уровень расчетной бюджетной обеспеченности которых не превышает уровень, установленный в качестве критерия выравнивания расчетной бюджетной обеспеченности муниципальных районов (городских округов).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Размер дотации на выравнивание бюджетной обеспеченности муниципальных районов (городских округов) муниципальному району (городскому округу) рассчитывается по следующей формуле: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Д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О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дот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T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/ T, где: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Д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размер дотации на выравнивание бюджетной обеспеченности муниципальных районов (городских округов)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муниципальному району </w:t>
      </w:r>
      <w:r w:rsidRPr="00742633">
        <w:rPr>
          <w:rFonts w:ascii="Times New Roman" w:hAnsi="Times New Roman" w:cs="Times New Roman"/>
          <w:sz w:val="28"/>
          <w:szCs w:val="28"/>
        </w:rPr>
        <w:lastRenderedPageBreak/>
        <w:t>(городскому округу);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О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дот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общий объем дотаций на выравнивание бюджетной обеспеченности муниципальных районов (городских округов);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T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объем средств, необходимый для доведения уровня расчетной бюджетной обеспеченности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до уровня, установленного в качестве критерия выравнивания расчетной бюджетной обеспеченности муниципальных районов (городских округов);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T - суммарный объем средств, необходимый для доведения уровня расчетной бюджетной обеспеченности муниципальных районов (городских округов) до уровня, установленного в качестве критерия выравнивания расчетной бюджетной обеспеченности муниципальных районов (городских округов).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Общий объем дотаций на выравнивание бюджетной обеспеченности муниципальных районов (городских округов) определяется по следующей формуле: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2200275" cy="266700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ПНД</w:t>
      </w:r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мр</w:t>
      </w:r>
      <w:proofErr w:type="spellEnd"/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spellStart"/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742633">
        <w:rPr>
          <w:rFonts w:ascii="Times New Roman" w:hAnsi="Times New Roman" w:cs="Times New Roman"/>
          <w:sz w:val="28"/>
          <w:szCs w:val="28"/>
        </w:rPr>
        <w:t xml:space="preserve"> - прогноз налоговых доходов бюджетов муниципальных районов (городских округов) в очередном финансовом году и плановом периоде, определяемый согласно методике, утверждаемой </w:t>
      </w:r>
      <w:r w:rsidR="00A20761">
        <w:rPr>
          <w:rFonts w:ascii="Times New Roman" w:hAnsi="Times New Roman" w:cs="Times New Roman"/>
          <w:sz w:val="28"/>
          <w:szCs w:val="28"/>
        </w:rPr>
        <w:t>Правительством</w:t>
      </w:r>
      <w:r w:rsidRPr="00742633">
        <w:rPr>
          <w:rFonts w:ascii="Times New Roman" w:hAnsi="Times New Roman" w:cs="Times New Roman"/>
          <w:sz w:val="28"/>
          <w:szCs w:val="28"/>
        </w:rPr>
        <w:t xml:space="preserve"> Смоленской области;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457200" cy="266700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муниципальных районов (городских округов), установленный областным законом об областном бюджете на очередной финансовый год и плановый период.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Объем средств, необходимый для доведения уровня расчетной бюджетной обеспеченности муниципального района (городского округа) до уровня, установленного в качестве критерия выравнивания расчетной бюджетной обеспеченности муниципальных районов (городских округов), рассчитывается по следующей формуле: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3314700" cy="266700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ПНД</w:t>
      </w:r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мр</w:t>
      </w:r>
      <w:proofErr w:type="spellEnd"/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spellStart"/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742633">
        <w:rPr>
          <w:rFonts w:ascii="Times New Roman" w:hAnsi="Times New Roman" w:cs="Times New Roman"/>
          <w:sz w:val="28"/>
          <w:szCs w:val="28"/>
        </w:rPr>
        <w:t xml:space="preserve"> - прогноз налоговых доходов бюджетов муниципальных районов (городских округов) в очередном финансовом году и плановом периоде, определяемый согласно методике, утверждаемой </w:t>
      </w:r>
      <w:r w:rsidR="00A20761">
        <w:rPr>
          <w:rFonts w:ascii="Times New Roman" w:hAnsi="Times New Roman" w:cs="Times New Roman"/>
          <w:sz w:val="28"/>
          <w:szCs w:val="28"/>
        </w:rPr>
        <w:t>Правительством</w:t>
      </w:r>
      <w:r w:rsidRPr="00742633">
        <w:rPr>
          <w:rFonts w:ascii="Times New Roman" w:hAnsi="Times New Roman" w:cs="Times New Roman"/>
          <w:sz w:val="28"/>
          <w:szCs w:val="28"/>
        </w:rPr>
        <w:t xml:space="preserve"> Смоленской области;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457200" cy="266700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муниципальных районов (городских округов);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БО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ИБР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индекс бюджетных расходов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Н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численность жителей j-</w:t>
      </w: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округа). Указанная численность жителей определяется в соответствии с </w:t>
      </w:r>
      <w:hyperlink r:id="rId31">
        <w:r w:rsidRPr="00742633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742633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lastRenderedPageBreak/>
        <w:t>Н - численность жителей всех муниципальных районов (городских округов).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муниципальных районов (городских округов) рассчитывается по следующей формуле: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2552700" cy="266700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457200" cy="266700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633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муниципальных районов (городских округов);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БО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5min</w:t>
      </w:r>
      <w:r w:rsidRPr="00742633">
        <w:rPr>
          <w:rFonts w:ascii="Times New Roman" w:hAnsi="Times New Roman" w:cs="Times New Roman"/>
          <w:sz w:val="28"/>
          <w:szCs w:val="28"/>
        </w:rPr>
        <w:t xml:space="preserve"> - среднеарифметическое значение бюджетной обеспеченности пяти наименее обеспеченных муниципальных районов (городских округов);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33">
        <w:rPr>
          <w:rFonts w:ascii="Times New Roman" w:hAnsi="Times New Roman" w:cs="Times New Roman"/>
          <w:sz w:val="28"/>
          <w:szCs w:val="28"/>
        </w:rPr>
        <w:t>БО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5max</w:t>
      </w:r>
      <w:r w:rsidRPr="00742633">
        <w:rPr>
          <w:rFonts w:ascii="Times New Roman" w:hAnsi="Times New Roman" w:cs="Times New Roman"/>
          <w:sz w:val="28"/>
          <w:szCs w:val="28"/>
        </w:rPr>
        <w:t xml:space="preserve"> - среднеарифметическое значение бюджетной обеспеченности пяти наиболее обеспеченных муниципальных районов (городских округов);</w:t>
      </w:r>
    </w:p>
    <w:p w:rsidR="00742633" w:rsidRPr="00742633" w:rsidRDefault="00742633" w:rsidP="00FB7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2633">
        <w:rPr>
          <w:rFonts w:ascii="Times New Roman" w:hAnsi="Times New Roman" w:cs="Times New Roman"/>
          <w:sz w:val="28"/>
          <w:szCs w:val="28"/>
        </w:rPr>
        <w:t>К</w:t>
      </w:r>
      <w:r w:rsidRPr="00742633">
        <w:rPr>
          <w:rFonts w:ascii="Times New Roman" w:hAnsi="Times New Roman" w:cs="Times New Roman"/>
          <w:sz w:val="28"/>
          <w:szCs w:val="28"/>
          <w:vertAlign w:val="subscript"/>
        </w:rPr>
        <w:t>кор</w:t>
      </w:r>
      <w:proofErr w:type="spellEnd"/>
      <w:r w:rsidRPr="00742633">
        <w:rPr>
          <w:rFonts w:ascii="Times New Roman" w:hAnsi="Times New Roman" w:cs="Times New Roman"/>
          <w:sz w:val="28"/>
          <w:szCs w:val="28"/>
        </w:rPr>
        <w:t xml:space="preserve"> - коэффициент корректировки, устанавливаемый нормативным правовым актом </w:t>
      </w:r>
      <w:r w:rsidR="00A20761">
        <w:rPr>
          <w:rFonts w:ascii="Times New Roman" w:hAnsi="Times New Roman" w:cs="Times New Roman"/>
          <w:sz w:val="28"/>
          <w:szCs w:val="28"/>
        </w:rPr>
        <w:t>Правительства</w:t>
      </w:r>
      <w:r w:rsidRPr="00742633">
        <w:rPr>
          <w:rFonts w:ascii="Times New Roman" w:hAnsi="Times New Roman" w:cs="Times New Roman"/>
          <w:sz w:val="28"/>
          <w:szCs w:val="28"/>
        </w:rPr>
        <w:t xml:space="preserve"> Смоленской области.</w:t>
      </w:r>
    </w:p>
    <w:p w:rsidR="00742633" w:rsidRPr="00742633" w:rsidRDefault="00742633">
      <w:pPr>
        <w:pStyle w:val="ConsPlusNormal"/>
      </w:pPr>
    </w:p>
    <w:sectPr w:rsidR="00742633" w:rsidRPr="00742633" w:rsidSect="00FB7868">
      <w:headerReference w:type="default" r:id="rId34"/>
      <w:pgSz w:w="11905" w:h="16838"/>
      <w:pgMar w:top="1134" w:right="567" w:bottom="1134" w:left="1134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868" w:rsidRDefault="00FB7868" w:rsidP="00FB7868">
      <w:pPr>
        <w:spacing w:after="0" w:line="240" w:lineRule="auto"/>
      </w:pPr>
      <w:r>
        <w:separator/>
      </w:r>
    </w:p>
  </w:endnote>
  <w:endnote w:type="continuationSeparator" w:id="0">
    <w:p w:rsidR="00FB7868" w:rsidRDefault="00FB7868" w:rsidP="00FB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868" w:rsidRDefault="00FB7868" w:rsidP="00FB7868">
      <w:pPr>
        <w:spacing w:after="0" w:line="240" w:lineRule="auto"/>
      </w:pPr>
      <w:r>
        <w:separator/>
      </w:r>
    </w:p>
  </w:footnote>
  <w:footnote w:type="continuationSeparator" w:id="0">
    <w:p w:rsidR="00FB7868" w:rsidRDefault="00FB7868" w:rsidP="00FB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60075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B7868" w:rsidRPr="00FB7868" w:rsidRDefault="00FB7868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FB7868">
          <w:rPr>
            <w:rFonts w:ascii="Times New Roman" w:hAnsi="Times New Roman" w:cs="Times New Roman"/>
            <w:sz w:val="24"/>
          </w:rPr>
          <w:fldChar w:fldCharType="begin"/>
        </w:r>
        <w:r w:rsidRPr="00FB7868">
          <w:rPr>
            <w:rFonts w:ascii="Times New Roman" w:hAnsi="Times New Roman" w:cs="Times New Roman"/>
            <w:sz w:val="24"/>
          </w:rPr>
          <w:instrText>PAGE   \* MERGEFORMAT</w:instrText>
        </w:r>
        <w:r w:rsidRPr="00FB7868">
          <w:rPr>
            <w:rFonts w:ascii="Times New Roman" w:hAnsi="Times New Roman" w:cs="Times New Roman"/>
            <w:sz w:val="24"/>
          </w:rPr>
          <w:fldChar w:fldCharType="separate"/>
        </w:r>
        <w:r w:rsidR="00C2705B">
          <w:rPr>
            <w:rFonts w:ascii="Times New Roman" w:hAnsi="Times New Roman" w:cs="Times New Roman"/>
            <w:noProof/>
            <w:sz w:val="24"/>
          </w:rPr>
          <w:t>10</w:t>
        </w:r>
        <w:r w:rsidRPr="00FB786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B7868" w:rsidRPr="00FB7868" w:rsidRDefault="00FB7868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633"/>
    <w:rsid w:val="00350B0B"/>
    <w:rsid w:val="004066D9"/>
    <w:rsid w:val="004638AF"/>
    <w:rsid w:val="00502691"/>
    <w:rsid w:val="00720F8E"/>
    <w:rsid w:val="00742633"/>
    <w:rsid w:val="008110DE"/>
    <w:rsid w:val="00A20761"/>
    <w:rsid w:val="00C2705B"/>
    <w:rsid w:val="00E61203"/>
    <w:rsid w:val="00F82EEC"/>
    <w:rsid w:val="00FA0E97"/>
    <w:rsid w:val="00FB7868"/>
    <w:rsid w:val="00FC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C15AA-DD6F-416F-94CB-49A487CC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6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426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42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633"/>
  </w:style>
  <w:style w:type="paragraph" w:styleId="a5">
    <w:name w:val="footer"/>
    <w:basedOn w:val="a"/>
    <w:link w:val="a6"/>
    <w:uiPriority w:val="99"/>
    <w:unhideWhenUsed/>
    <w:rsid w:val="00FB7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7868"/>
  </w:style>
  <w:style w:type="table" w:styleId="a7">
    <w:name w:val="Table Grid"/>
    <w:basedOn w:val="a1"/>
    <w:uiPriority w:val="39"/>
    <w:rsid w:val="00FB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80BAC77F462B9EAFF282C670C4F8BCB5D8B998DE124C7DE145CD3197C2B1A4A09C06F8D158CE4698C7DCDC14BDDA0AA4E9123B43EEE9A8VA6EG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consultantplus://offline/ref=4180BAC77F462B9EAFF282C670C4F8BCB5D8B998DE124C7DE145CD3197C2B1A4A09C06F8D158CE439ACD888F56E3835BE8A21E3A55F2E8ABB2BCCCB8V862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2.wmf"/><Relationship Id="rId34" Type="http://schemas.openxmlformats.org/officeDocument/2006/relationships/header" Target="header1.xml"/><Relationship Id="rId7" Type="http://schemas.openxmlformats.org/officeDocument/2006/relationships/hyperlink" Target="consultantplus://offline/ref=4180BAC77F462B9EAFF29CCB66A8A5B6B7D1E594DE134728BB12CB66C892B7F1F2DC58A19214DD439BD28A8D52VE6AG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hyperlink" Target="consultantplus://offline/ref=4180BAC77F462B9EAFF29CCB66A8A5B6B7D1E594D7164728BB12CB66C892B7F1E0DC00AD921CC2449CC7DCDC14BDDA0AA4E9123B43EEE9A8VA6EG" TargetMode="External"/><Relationship Id="rId33" Type="http://schemas.openxmlformats.org/officeDocument/2006/relationships/image" Target="media/image19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4180BAC77F462B9EAFF282C670C4F8BCB5D8B998DE124C7DE145CD3197C2B1A4A09C06F8D158CE439ACD888F56E3835BE8A21E3A55F2E8ABB2BCCCB8V862G" TargetMode="External"/><Relationship Id="rId11" Type="http://schemas.openxmlformats.org/officeDocument/2006/relationships/image" Target="media/image3.wmf"/><Relationship Id="rId24" Type="http://schemas.openxmlformats.org/officeDocument/2006/relationships/hyperlink" Target="consultantplus://offline/ref=4180BAC77F462B9EAFF29CCB66A8A5B6B7D1E594D7164728BB12CB66C892B7F1E0DC00AD921CC24193C7DCDC14BDDA0AA4E9123B43EEE9A8VA6EG" TargetMode="External"/><Relationship Id="rId32" Type="http://schemas.openxmlformats.org/officeDocument/2006/relationships/image" Target="media/image18.wmf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hyperlink" Target="consultantplus://offline/ref=4180BAC77F462B9EAFF282C670C4F8BCB5D8B998DE124C7DE145CD3197C2B1A4A09C06F8D158CE439ACD888F56E3835BE8A21E3A55F2E8ABB2BCCCB8V862G" TargetMode="External"/><Relationship Id="rId28" Type="http://schemas.openxmlformats.org/officeDocument/2006/relationships/image" Target="media/image15.w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31" Type="http://schemas.openxmlformats.org/officeDocument/2006/relationships/hyperlink" Target="consultantplus://offline/ref=4180BAC77F462B9EAFF282C670C4F8BCB5D8B998DE124C7DE145CD3197C2B1A4A09C06F8D158CE439ACD888F56E3835BE8A21E3A55F2E8ABB2BCCCB8V862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4180BAC77F462B9EAFF282C670C4F8BCB5D8B998DE124C7DE145CD3197C2B1A4A09C06F8D158CE439ACD888F56E3835BE8A21E3A55F2E8ABB2BCCCB8V862G" TargetMode="External"/><Relationship Id="rId22" Type="http://schemas.openxmlformats.org/officeDocument/2006/relationships/image" Target="media/image13.wmf"/><Relationship Id="rId27" Type="http://schemas.openxmlformats.org/officeDocument/2006/relationships/image" Target="media/image14.wmf"/><Relationship Id="rId30" Type="http://schemas.openxmlformats.org/officeDocument/2006/relationships/image" Target="media/image17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3756</Words>
  <Characters>21414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</dc:creator>
  <cp:keywords/>
  <dc:description/>
  <cp:lastModifiedBy>Ильина Олеся Михайловна 2</cp:lastModifiedBy>
  <cp:revision>2</cp:revision>
  <dcterms:created xsi:type="dcterms:W3CDTF">2023-11-02T15:31:00Z</dcterms:created>
  <dcterms:modified xsi:type="dcterms:W3CDTF">2023-11-02T15:31:00Z</dcterms:modified>
</cp:coreProperties>
</file>